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24"/>
        <w:tblW w:w="0" w:type="auto"/>
        <w:tblLayout w:type="fixed"/>
        <w:tblLook w:val="04A0" w:firstRow="1" w:lastRow="0" w:firstColumn="1" w:lastColumn="0" w:noHBand="0" w:noVBand="1"/>
      </w:tblPr>
      <w:tblGrid>
        <w:gridCol w:w="2405"/>
        <w:gridCol w:w="6611"/>
      </w:tblGrid>
      <w:tr w:rsidR="00CA6207" w:rsidRPr="0082687C" w14:paraId="144C7FD1" w14:textId="77777777" w:rsidTr="0048628B">
        <w:tc>
          <w:tcPr>
            <w:tcW w:w="2405" w:type="dxa"/>
          </w:tcPr>
          <w:p w14:paraId="17E92886" w14:textId="058FA5F1" w:rsidR="00CA6207" w:rsidRPr="0082687C" w:rsidRDefault="00CE53C5" w:rsidP="0082687C">
            <w:pPr>
              <w:ind w:left="360"/>
              <w:rPr>
                <w:rFonts w:ascii="Arial" w:hAnsi="Arial" w:cs="Arial"/>
                <w:b/>
              </w:rPr>
            </w:pPr>
            <w:r w:rsidRPr="0082687C">
              <w:rPr>
                <w:rFonts w:ascii="Arial" w:hAnsi="Arial" w:cs="Arial"/>
                <w:b/>
              </w:rPr>
              <w:t>Version:</w:t>
            </w:r>
          </w:p>
        </w:tc>
        <w:tc>
          <w:tcPr>
            <w:tcW w:w="6611" w:type="dxa"/>
          </w:tcPr>
          <w:p w14:paraId="66C45061" w14:textId="1C9B83E0" w:rsidR="00CA6207" w:rsidRPr="0082687C" w:rsidRDefault="00F47039" w:rsidP="0082687C">
            <w:pPr>
              <w:rPr>
                <w:rFonts w:ascii="Arial" w:hAnsi="Arial" w:cs="Arial"/>
              </w:rPr>
            </w:pPr>
            <w:r w:rsidRPr="0082687C">
              <w:rPr>
                <w:rFonts w:ascii="Arial" w:hAnsi="Arial" w:cs="Arial"/>
              </w:rPr>
              <w:t>1</w:t>
            </w:r>
            <w:r w:rsidR="004A60A4" w:rsidRPr="0082687C">
              <w:rPr>
                <w:rFonts w:ascii="Arial" w:hAnsi="Arial" w:cs="Arial"/>
              </w:rPr>
              <w:t>6</w:t>
            </w:r>
          </w:p>
        </w:tc>
      </w:tr>
      <w:tr w:rsidR="00CA6207" w:rsidRPr="0082687C" w14:paraId="6FBC5D75" w14:textId="77777777" w:rsidTr="0048628B">
        <w:tc>
          <w:tcPr>
            <w:tcW w:w="2405" w:type="dxa"/>
          </w:tcPr>
          <w:p w14:paraId="55D041F3" w14:textId="77777777" w:rsidR="00CA6207" w:rsidRPr="0082687C" w:rsidRDefault="00CA6207" w:rsidP="0082687C">
            <w:pPr>
              <w:ind w:left="360"/>
              <w:rPr>
                <w:rFonts w:ascii="Arial" w:hAnsi="Arial" w:cs="Arial"/>
                <w:b/>
              </w:rPr>
            </w:pPr>
            <w:r w:rsidRPr="0082687C">
              <w:rPr>
                <w:rFonts w:ascii="Arial" w:hAnsi="Arial" w:cs="Arial"/>
                <w:b/>
              </w:rPr>
              <w:t>Date:</w:t>
            </w:r>
          </w:p>
        </w:tc>
        <w:tc>
          <w:tcPr>
            <w:tcW w:w="6611" w:type="dxa"/>
          </w:tcPr>
          <w:p w14:paraId="317EFCFE" w14:textId="31D28349" w:rsidR="00CA6207" w:rsidRPr="0082687C" w:rsidRDefault="00810E41" w:rsidP="0082687C">
            <w:pPr>
              <w:rPr>
                <w:rFonts w:ascii="Arial" w:hAnsi="Arial" w:cs="Arial"/>
              </w:rPr>
            </w:pPr>
            <w:r w:rsidRPr="0082687C">
              <w:rPr>
                <w:rFonts w:ascii="Arial" w:hAnsi="Arial" w:cs="Arial"/>
              </w:rPr>
              <w:t>December</w:t>
            </w:r>
            <w:r w:rsidR="00EE7BAB" w:rsidRPr="0082687C">
              <w:rPr>
                <w:rFonts w:ascii="Arial" w:hAnsi="Arial" w:cs="Arial"/>
              </w:rPr>
              <w:t xml:space="preserve"> 20</w:t>
            </w:r>
            <w:r w:rsidR="00F47039" w:rsidRPr="0082687C">
              <w:rPr>
                <w:rFonts w:ascii="Arial" w:hAnsi="Arial" w:cs="Arial"/>
              </w:rPr>
              <w:t>2</w:t>
            </w:r>
            <w:r w:rsidR="003327C7" w:rsidRPr="0082687C">
              <w:rPr>
                <w:rFonts w:ascii="Arial" w:hAnsi="Arial" w:cs="Arial"/>
              </w:rPr>
              <w:t xml:space="preserve">5 </w:t>
            </w:r>
          </w:p>
        </w:tc>
      </w:tr>
      <w:tr w:rsidR="00CA6207" w:rsidRPr="0082687C" w14:paraId="073905A2" w14:textId="77777777" w:rsidTr="0048628B">
        <w:tc>
          <w:tcPr>
            <w:tcW w:w="2405" w:type="dxa"/>
          </w:tcPr>
          <w:p w14:paraId="206808DE" w14:textId="77777777" w:rsidR="00CA6207" w:rsidRPr="0082687C" w:rsidRDefault="00CA6207" w:rsidP="0082687C">
            <w:pPr>
              <w:ind w:left="360"/>
              <w:rPr>
                <w:rFonts w:ascii="Arial" w:hAnsi="Arial" w:cs="Arial"/>
                <w:b/>
              </w:rPr>
            </w:pPr>
            <w:r w:rsidRPr="0082687C">
              <w:rPr>
                <w:rFonts w:ascii="Arial" w:hAnsi="Arial" w:cs="Arial"/>
                <w:b/>
              </w:rPr>
              <w:t>Owner:</w:t>
            </w:r>
          </w:p>
        </w:tc>
        <w:tc>
          <w:tcPr>
            <w:tcW w:w="6611" w:type="dxa"/>
          </w:tcPr>
          <w:p w14:paraId="5228EDD6" w14:textId="26EC0238" w:rsidR="00CA6207" w:rsidRPr="0082687C" w:rsidRDefault="003327C7" w:rsidP="0082687C">
            <w:pPr>
              <w:rPr>
                <w:rFonts w:ascii="Arial" w:hAnsi="Arial" w:cs="Arial"/>
              </w:rPr>
            </w:pPr>
            <w:r w:rsidRPr="0082687C">
              <w:rPr>
                <w:rFonts w:ascii="Arial" w:hAnsi="Arial" w:cs="Arial"/>
              </w:rPr>
              <w:t>Director of UK Operations</w:t>
            </w:r>
          </w:p>
        </w:tc>
      </w:tr>
      <w:tr w:rsidR="00CE53C5" w:rsidRPr="0082687C" w14:paraId="76DA1D59" w14:textId="77777777" w:rsidTr="0048628B">
        <w:tc>
          <w:tcPr>
            <w:tcW w:w="2405" w:type="dxa"/>
          </w:tcPr>
          <w:p w14:paraId="3199D7FE" w14:textId="77777777" w:rsidR="00CE53C5" w:rsidRPr="0082687C" w:rsidRDefault="00CE53C5" w:rsidP="0082687C">
            <w:pPr>
              <w:ind w:left="360"/>
              <w:rPr>
                <w:rFonts w:ascii="Arial" w:hAnsi="Arial" w:cs="Arial"/>
                <w:b/>
              </w:rPr>
            </w:pPr>
            <w:r w:rsidRPr="0082687C">
              <w:rPr>
                <w:rFonts w:ascii="Arial" w:hAnsi="Arial" w:cs="Arial"/>
                <w:b/>
              </w:rPr>
              <w:t>Approved by:</w:t>
            </w:r>
          </w:p>
        </w:tc>
        <w:tc>
          <w:tcPr>
            <w:tcW w:w="6611" w:type="dxa"/>
          </w:tcPr>
          <w:p w14:paraId="75FFF154" w14:textId="77777777" w:rsidR="00CE53C5" w:rsidRPr="0082687C" w:rsidRDefault="00CE53C5" w:rsidP="0082687C">
            <w:pPr>
              <w:rPr>
                <w:rFonts w:ascii="Arial" w:hAnsi="Arial" w:cs="Arial"/>
              </w:rPr>
            </w:pPr>
            <w:r w:rsidRPr="0082687C">
              <w:rPr>
                <w:rFonts w:ascii="Arial" w:hAnsi="Arial" w:cs="Arial"/>
              </w:rPr>
              <w:t xml:space="preserve">Board of Trustees </w:t>
            </w:r>
          </w:p>
        </w:tc>
      </w:tr>
      <w:tr w:rsidR="00CA6207" w:rsidRPr="0082687C" w14:paraId="6938C09C" w14:textId="77777777" w:rsidTr="0048628B">
        <w:tc>
          <w:tcPr>
            <w:tcW w:w="2405" w:type="dxa"/>
          </w:tcPr>
          <w:p w14:paraId="28A4C6A9" w14:textId="77777777" w:rsidR="00CA6207" w:rsidRPr="0082687C" w:rsidRDefault="00CA6207" w:rsidP="0082687C">
            <w:pPr>
              <w:ind w:left="360"/>
              <w:rPr>
                <w:rFonts w:ascii="Arial" w:hAnsi="Arial" w:cs="Arial"/>
                <w:b/>
              </w:rPr>
            </w:pPr>
            <w:r w:rsidRPr="0082687C">
              <w:rPr>
                <w:rFonts w:ascii="Arial" w:hAnsi="Arial" w:cs="Arial"/>
                <w:b/>
              </w:rPr>
              <w:t>Review Date:</w:t>
            </w:r>
          </w:p>
        </w:tc>
        <w:tc>
          <w:tcPr>
            <w:tcW w:w="6611" w:type="dxa"/>
          </w:tcPr>
          <w:p w14:paraId="54660774" w14:textId="412DD2EC" w:rsidR="00CA6207" w:rsidRPr="0082687C" w:rsidRDefault="00FF25E9" w:rsidP="0082687C">
            <w:pPr>
              <w:rPr>
                <w:rFonts w:ascii="Arial" w:hAnsi="Arial" w:cs="Arial"/>
              </w:rPr>
            </w:pPr>
            <w:r w:rsidRPr="0082687C">
              <w:rPr>
                <w:rFonts w:ascii="Arial" w:hAnsi="Arial" w:cs="Arial"/>
              </w:rPr>
              <w:t>December</w:t>
            </w:r>
            <w:r w:rsidR="00EE7BAB" w:rsidRPr="0082687C">
              <w:rPr>
                <w:rFonts w:ascii="Arial" w:hAnsi="Arial" w:cs="Arial"/>
              </w:rPr>
              <w:t xml:space="preserve"> 202</w:t>
            </w:r>
            <w:r w:rsidR="00810E41" w:rsidRPr="0082687C">
              <w:rPr>
                <w:rFonts w:ascii="Arial" w:hAnsi="Arial" w:cs="Arial"/>
              </w:rPr>
              <w:t>6</w:t>
            </w:r>
          </w:p>
        </w:tc>
      </w:tr>
    </w:tbl>
    <w:p w14:paraId="4254E21A" w14:textId="77777777" w:rsidR="00424D7B" w:rsidRPr="0082687C" w:rsidRDefault="00424D7B" w:rsidP="0082687C">
      <w:pPr>
        <w:spacing w:after="0" w:line="240" w:lineRule="auto"/>
        <w:rPr>
          <w:rFonts w:ascii="Arial" w:hAnsi="Arial" w:cs="Arial"/>
          <w:sz w:val="20"/>
          <w:szCs w:val="20"/>
        </w:rPr>
      </w:pPr>
    </w:p>
    <w:p w14:paraId="4FD5CD43" w14:textId="79C21059"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This </w:t>
      </w:r>
      <w:r w:rsidR="00424D7B" w:rsidRPr="0082687C">
        <w:rPr>
          <w:rFonts w:ascii="Arial" w:hAnsi="Arial" w:cs="Arial"/>
          <w:sz w:val="20"/>
          <w:szCs w:val="20"/>
        </w:rPr>
        <w:t>S</w:t>
      </w:r>
      <w:r w:rsidRPr="0082687C">
        <w:rPr>
          <w:rFonts w:ascii="Arial" w:hAnsi="Arial" w:cs="Arial"/>
          <w:sz w:val="20"/>
          <w:szCs w:val="20"/>
        </w:rPr>
        <w:t>afeguarding policy</w:t>
      </w:r>
      <w:r w:rsidR="00381A28" w:rsidRPr="0082687C">
        <w:rPr>
          <w:rFonts w:ascii="Arial" w:hAnsi="Arial" w:cs="Arial"/>
          <w:sz w:val="20"/>
          <w:szCs w:val="20"/>
        </w:rPr>
        <w:t xml:space="preserve"> and its attendant responsibilities</w:t>
      </w:r>
      <w:r w:rsidRPr="0082687C">
        <w:rPr>
          <w:rFonts w:ascii="Arial" w:hAnsi="Arial" w:cs="Arial"/>
          <w:sz w:val="20"/>
          <w:szCs w:val="20"/>
        </w:rPr>
        <w:t xml:space="preserve"> applies to everyone involved in the delivery of projects and services for TCV, including </w:t>
      </w:r>
      <w:r w:rsidR="00310E82" w:rsidRPr="0082687C">
        <w:rPr>
          <w:rFonts w:ascii="Arial" w:hAnsi="Arial" w:cs="Arial"/>
          <w:sz w:val="20"/>
          <w:szCs w:val="20"/>
        </w:rPr>
        <w:t xml:space="preserve">trustees, </w:t>
      </w:r>
      <w:r w:rsidRPr="0082687C">
        <w:rPr>
          <w:rFonts w:ascii="Arial" w:hAnsi="Arial" w:cs="Arial"/>
          <w:sz w:val="20"/>
          <w:szCs w:val="20"/>
        </w:rPr>
        <w:t xml:space="preserve">staff, </w:t>
      </w:r>
      <w:r w:rsidR="00C215E9" w:rsidRPr="0082687C">
        <w:rPr>
          <w:rFonts w:ascii="Arial" w:hAnsi="Arial" w:cs="Arial"/>
          <w:sz w:val="20"/>
          <w:szCs w:val="20"/>
        </w:rPr>
        <w:t xml:space="preserve">key </w:t>
      </w:r>
      <w:r w:rsidRPr="0082687C">
        <w:rPr>
          <w:rFonts w:ascii="Arial" w:hAnsi="Arial" w:cs="Arial"/>
          <w:sz w:val="20"/>
          <w:szCs w:val="20"/>
        </w:rPr>
        <w:t>volunteers</w:t>
      </w:r>
      <w:r w:rsidR="00C215E9" w:rsidRPr="0082687C">
        <w:rPr>
          <w:rFonts w:ascii="Arial" w:hAnsi="Arial" w:cs="Arial"/>
          <w:sz w:val="20"/>
          <w:szCs w:val="20"/>
        </w:rPr>
        <w:t>, volunteer officers</w:t>
      </w:r>
      <w:r w:rsidRPr="0082687C">
        <w:rPr>
          <w:rFonts w:ascii="Arial" w:hAnsi="Arial" w:cs="Arial"/>
          <w:sz w:val="20"/>
          <w:szCs w:val="20"/>
        </w:rPr>
        <w:t xml:space="preserve"> and contractors. </w:t>
      </w:r>
      <w:r w:rsidR="001F1D65" w:rsidRPr="0082687C">
        <w:rPr>
          <w:rFonts w:ascii="Arial" w:hAnsi="Arial" w:cs="Arial"/>
          <w:color w:val="000000"/>
          <w:sz w:val="20"/>
          <w:szCs w:val="20"/>
        </w:rPr>
        <w:t>The term ‘staff’ used in this policy refers to staff</w:t>
      </w:r>
      <w:r w:rsidR="001F1D65" w:rsidRPr="0082687C">
        <w:rPr>
          <w:rFonts w:ascii="Arial" w:hAnsi="Arial" w:cs="Arial"/>
          <w:sz w:val="20"/>
          <w:szCs w:val="20"/>
        </w:rPr>
        <w:t>, key volunteers and volunteer officers.</w:t>
      </w:r>
    </w:p>
    <w:p w14:paraId="03F6AC27" w14:textId="77777777" w:rsidR="00424D7B" w:rsidRPr="0082687C" w:rsidRDefault="00424D7B" w:rsidP="0082687C">
      <w:pPr>
        <w:spacing w:after="0" w:line="240" w:lineRule="auto"/>
        <w:rPr>
          <w:rFonts w:ascii="Arial" w:hAnsi="Arial" w:cs="Arial"/>
          <w:sz w:val="20"/>
          <w:szCs w:val="20"/>
        </w:rPr>
      </w:pPr>
    </w:p>
    <w:p w14:paraId="58305E9A" w14:textId="75C43A1F"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This policy applies to adults that volunteer in TCV projects, benefit from its services or come into contact with TCV through any other process. </w:t>
      </w:r>
    </w:p>
    <w:p w14:paraId="47441DCA" w14:textId="77777777" w:rsidR="00EE7BAB" w:rsidRPr="0082687C" w:rsidRDefault="00EE7BAB" w:rsidP="0082687C">
      <w:pPr>
        <w:spacing w:after="0" w:line="240" w:lineRule="auto"/>
        <w:rPr>
          <w:rFonts w:ascii="Arial" w:hAnsi="Arial" w:cs="Arial"/>
          <w:sz w:val="20"/>
          <w:szCs w:val="20"/>
        </w:rPr>
      </w:pPr>
    </w:p>
    <w:p w14:paraId="52AA1CED" w14:textId="1C424F63"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This policy outlines TCV’s approach to </w:t>
      </w:r>
      <w:r w:rsidR="005F21CA" w:rsidRPr="0082687C">
        <w:rPr>
          <w:rFonts w:ascii="Arial" w:hAnsi="Arial" w:cs="Arial"/>
          <w:sz w:val="20"/>
          <w:szCs w:val="20"/>
        </w:rPr>
        <w:t xml:space="preserve">recognising, </w:t>
      </w:r>
      <w:r w:rsidRPr="0082687C">
        <w:rPr>
          <w:rFonts w:ascii="Arial" w:hAnsi="Arial" w:cs="Arial"/>
          <w:sz w:val="20"/>
          <w:szCs w:val="20"/>
        </w:rPr>
        <w:t>preventing and reducing the risk of harm to adults who are experiencing or are at risk from, abuse and neglect.</w:t>
      </w:r>
    </w:p>
    <w:p w14:paraId="3FD334AD" w14:textId="77777777" w:rsidR="00EE7BAB" w:rsidRPr="0082687C" w:rsidRDefault="00EE7BAB" w:rsidP="0082687C">
      <w:pPr>
        <w:spacing w:after="0" w:line="240" w:lineRule="auto"/>
        <w:rPr>
          <w:rFonts w:ascii="Arial" w:hAnsi="Arial" w:cs="Arial"/>
          <w:sz w:val="20"/>
          <w:szCs w:val="20"/>
        </w:rPr>
      </w:pPr>
    </w:p>
    <w:p w14:paraId="0B7EF15B" w14:textId="75E993BD"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This policy applies to all Service Level Agreements, e.g. Partnership Agreement, and all such agreements will contain a reference to that effect.</w:t>
      </w:r>
    </w:p>
    <w:p w14:paraId="1CD59F91" w14:textId="77777777" w:rsidR="00EE7BAB" w:rsidRPr="0082687C" w:rsidRDefault="00EE7BAB" w:rsidP="0082687C">
      <w:pPr>
        <w:spacing w:after="0" w:line="240" w:lineRule="auto"/>
        <w:rPr>
          <w:rFonts w:ascii="Arial" w:hAnsi="Arial" w:cs="Arial"/>
          <w:sz w:val="20"/>
          <w:szCs w:val="20"/>
        </w:rPr>
      </w:pPr>
    </w:p>
    <w:p w14:paraId="1FFDDF44" w14:textId="4A57325A"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TCV expects all partners and contractors from whom it commissions external services to adhere to this policy as a minimum. Where appropriate, TCV will work with partner agencies to enable them to develop their own service specific, safeguarding procedures. </w:t>
      </w:r>
    </w:p>
    <w:p w14:paraId="0E3374C6" w14:textId="77777777" w:rsidR="00EE7BAB" w:rsidRPr="0082687C" w:rsidRDefault="00EE7BAB" w:rsidP="0082687C">
      <w:pPr>
        <w:spacing w:after="0" w:line="240" w:lineRule="auto"/>
        <w:rPr>
          <w:rFonts w:ascii="Arial" w:hAnsi="Arial" w:cs="Arial"/>
          <w:sz w:val="20"/>
          <w:szCs w:val="20"/>
        </w:rPr>
      </w:pPr>
    </w:p>
    <w:p w14:paraId="696AF7D0" w14:textId="73E6823A"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Responsibility for the safeguarding policy lies with the Board</w:t>
      </w:r>
      <w:r w:rsidR="00310E82" w:rsidRPr="0082687C">
        <w:rPr>
          <w:rFonts w:ascii="Arial" w:hAnsi="Arial" w:cs="Arial"/>
          <w:sz w:val="20"/>
          <w:szCs w:val="20"/>
        </w:rPr>
        <w:t xml:space="preserve"> of Trustees</w:t>
      </w:r>
      <w:r w:rsidRPr="0082687C">
        <w:rPr>
          <w:rFonts w:ascii="Arial" w:hAnsi="Arial" w:cs="Arial"/>
          <w:sz w:val="20"/>
          <w:szCs w:val="20"/>
        </w:rPr>
        <w:t xml:space="preserve">. </w:t>
      </w:r>
      <w:r w:rsidR="00470C48" w:rsidRPr="0082687C">
        <w:rPr>
          <w:rFonts w:ascii="Arial" w:hAnsi="Arial" w:cs="Arial"/>
          <w:sz w:val="20"/>
          <w:szCs w:val="20"/>
        </w:rPr>
        <w:t xml:space="preserve">The Board </w:t>
      </w:r>
      <w:r w:rsidR="00392D17" w:rsidRPr="0082687C">
        <w:rPr>
          <w:rFonts w:ascii="Arial" w:hAnsi="Arial" w:cs="Arial"/>
          <w:sz w:val="20"/>
          <w:szCs w:val="20"/>
        </w:rPr>
        <w:t>will appoint</w:t>
      </w:r>
      <w:r w:rsidR="00470C48" w:rsidRPr="0082687C">
        <w:rPr>
          <w:rFonts w:ascii="Arial" w:hAnsi="Arial" w:cs="Arial"/>
          <w:sz w:val="20"/>
          <w:szCs w:val="20"/>
        </w:rPr>
        <w:t xml:space="preserve"> a </w:t>
      </w:r>
      <w:r w:rsidR="00392D17" w:rsidRPr="0082687C">
        <w:rPr>
          <w:rFonts w:ascii="Arial" w:hAnsi="Arial" w:cs="Arial"/>
          <w:sz w:val="20"/>
          <w:szCs w:val="20"/>
        </w:rPr>
        <w:t>Lead</w:t>
      </w:r>
      <w:r w:rsidR="00470C48" w:rsidRPr="0082687C">
        <w:rPr>
          <w:rFonts w:ascii="Arial" w:hAnsi="Arial" w:cs="Arial"/>
          <w:sz w:val="20"/>
          <w:szCs w:val="20"/>
        </w:rPr>
        <w:t xml:space="preserve"> </w:t>
      </w:r>
      <w:r w:rsidR="00392D17" w:rsidRPr="0082687C">
        <w:rPr>
          <w:rFonts w:ascii="Arial" w:hAnsi="Arial" w:cs="Arial"/>
          <w:sz w:val="20"/>
          <w:szCs w:val="20"/>
        </w:rPr>
        <w:t>T</w:t>
      </w:r>
      <w:r w:rsidR="00470C48" w:rsidRPr="0082687C">
        <w:rPr>
          <w:rFonts w:ascii="Arial" w:hAnsi="Arial" w:cs="Arial"/>
          <w:sz w:val="20"/>
          <w:szCs w:val="20"/>
        </w:rPr>
        <w:t>rustee</w:t>
      </w:r>
      <w:r w:rsidR="00392D17" w:rsidRPr="0082687C">
        <w:rPr>
          <w:rFonts w:ascii="Arial" w:hAnsi="Arial" w:cs="Arial"/>
          <w:sz w:val="20"/>
          <w:szCs w:val="20"/>
        </w:rPr>
        <w:t xml:space="preserve"> for Safeguarding,</w:t>
      </w:r>
      <w:r w:rsidR="00470C48" w:rsidRPr="0082687C">
        <w:rPr>
          <w:rFonts w:ascii="Arial" w:hAnsi="Arial" w:cs="Arial"/>
          <w:sz w:val="20"/>
          <w:szCs w:val="20"/>
        </w:rPr>
        <w:t xml:space="preserve"> from</w:t>
      </w:r>
      <w:r w:rsidR="00FD1B83" w:rsidRPr="0082687C">
        <w:rPr>
          <w:rFonts w:ascii="Arial" w:hAnsi="Arial" w:cs="Arial"/>
          <w:sz w:val="20"/>
          <w:szCs w:val="20"/>
        </w:rPr>
        <w:t xml:space="preserve"> the</w:t>
      </w:r>
      <w:r w:rsidR="00470C48" w:rsidRPr="0082687C">
        <w:rPr>
          <w:rFonts w:ascii="Arial" w:hAnsi="Arial" w:cs="Arial"/>
          <w:sz w:val="20"/>
          <w:szCs w:val="20"/>
        </w:rPr>
        <w:t xml:space="preserve"> A</w:t>
      </w:r>
      <w:r w:rsidR="00FD1B83" w:rsidRPr="0082687C">
        <w:rPr>
          <w:rFonts w:ascii="Arial" w:hAnsi="Arial" w:cs="Arial"/>
          <w:sz w:val="20"/>
          <w:szCs w:val="20"/>
        </w:rPr>
        <w:t xml:space="preserve">udit and </w:t>
      </w:r>
      <w:r w:rsidR="00470C48" w:rsidRPr="0082687C">
        <w:rPr>
          <w:rFonts w:ascii="Arial" w:hAnsi="Arial" w:cs="Arial"/>
          <w:sz w:val="20"/>
          <w:szCs w:val="20"/>
        </w:rPr>
        <w:t>R</w:t>
      </w:r>
      <w:r w:rsidR="00FD1B83" w:rsidRPr="0082687C">
        <w:rPr>
          <w:rFonts w:ascii="Arial" w:hAnsi="Arial" w:cs="Arial"/>
          <w:sz w:val="20"/>
          <w:szCs w:val="20"/>
        </w:rPr>
        <w:t xml:space="preserve">isk </w:t>
      </w:r>
      <w:r w:rsidR="00470C48" w:rsidRPr="0082687C">
        <w:rPr>
          <w:rFonts w:ascii="Arial" w:hAnsi="Arial" w:cs="Arial"/>
          <w:sz w:val="20"/>
          <w:szCs w:val="20"/>
        </w:rPr>
        <w:t>C</w:t>
      </w:r>
      <w:r w:rsidR="00FD1B83" w:rsidRPr="0082687C">
        <w:rPr>
          <w:rFonts w:ascii="Arial" w:hAnsi="Arial" w:cs="Arial"/>
          <w:sz w:val="20"/>
          <w:szCs w:val="20"/>
        </w:rPr>
        <w:t>ommittee (ARC)</w:t>
      </w:r>
      <w:r w:rsidR="00392D17" w:rsidRPr="0082687C">
        <w:rPr>
          <w:rFonts w:ascii="Arial" w:hAnsi="Arial" w:cs="Arial"/>
          <w:sz w:val="20"/>
          <w:szCs w:val="20"/>
        </w:rPr>
        <w:t>, to provide the board with additional assurance on its safeguarding responsibilities under any relevant legislation.</w:t>
      </w:r>
      <w:r w:rsidR="00470C48" w:rsidRPr="0082687C">
        <w:rPr>
          <w:rFonts w:ascii="Arial" w:hAnsi="Arial" w:cs="Arial"/>
          <w:sz w:val="20"/>
          <w:szCs w:val="20"/>
        </w:rPr>
        <w:t xml:space="preserve">  </w:t>
      </w:r>
    </w:p>
    <w:p w14:paraId="7431AC9A" w14:textId="77777777" w:rsidR="00EE7BAB" w:rsidRPr="0082687C" w:rsidRDefault="00EE7BAB" w:rsidP="0082687C">
      <w:pPr>
        <w:spacing w:after="0" w:line="240" w:lineRule="auto"/>
        <w:rPr>
          <w:rFonts w:ascii="Arial" w:hAnsi="Arial" w:cs="Arial"/>
          <w:sz w:val="20"/>
          <w:szCs w:val="20"/>
        </w:rPr>
      </w:pPr>
    </w:p>
    <w:p w14:paraId="751910F5" w14:textId="765275CF" w:rsidR="003327C7"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The </w:t>
      </w:r>
      <w:r w:rsidR="003327C7" w:rsidRPr="0082687C">
        <w:rPr>
          <w:rFonts w:ascii="Arial" w:hAnsi="Arial" w:cs="Arial"/>
          <w:sz w:val="20"/>
          <w:szCs w:val="20"/>
        </w:rPr>
        <w:t>Director of UK Operations is the Designated Safeguarding Officer. They are</w:t>
      </w:r>
      <w:r w:rsidRPr="0082687C">
        <w:rPr>
          <w:rFonts w:ascii="Arial" w:hAnsi="Arial" w:cs="Arial"/>
          <w:sz w:val="20"/>
          <w:szCs w:val="20"/>
        </w:rPr>
        <w:t xml:space="preserve"> line managed by </w:t>
      </w:r>
      <w:r w:rsidR="003327C7" w:rsidRPr="0082687C">
        <w:rPr>
          <w:rFonts w:ascii="Arial" w:hAnsi="Arial" w:cs="Arial"/>
          <w:sz w:val="20"/>
          <w:szCs w:val="20"/>
        </w:rPr>
        <w:t>the Chief Executive</w:t>
      </w:r>
      <w:r w:rsidRPr="0082687C">
        <w:rPr>
          <w:rFonts w:ascii="Arial" w:hAnsi="Arial" w:cs="Arial"/>
          <w:sz w:val="20"/>
          <w:szCs w:val="20"/>
        </w:rPr>
        <w:t xml:space="preserve"> </w:t>
      </w:r>
      <w:r w:rsidR="00310E82" w:rsidRPr="0082687C">
        <w:rPr>
          <w:rFonts w:ascii="Arial" w:hAnsi="Arial" w:cs="Arial"/>
          <w:sz w:val="20"/>
          <w:szCs w:val="20"/>
        </w:rPr>
        <w:t>and</w:t>
      </w:r>
      <w:r w:rsidRPr="0082687C">
        <w:rPr>
          <w:rFonts w:ascii="Arial" w:hAnsi="Arial" w:cs="Arial"/>
          <w:sz w:val="20"/>
          <w:szCs w:val="20"/>
        </w:rPr>
        <w:t xml:space="preserve"> reports to</w:t>
      </w:r>
      <w:r w:rsidR="00310E82" w:rsidRPr="0082687C">
        <w:rPr>
          <w:rFonts w:ascii="Arial" w:hAnsi="Arial" w:cs="Arial"/>
          <w:sz w:val="20"/>
          <w:szCs w:val="20"/>
        </w:rPr>
        <w:t xml:space="preserve"> the</w:t>
      </w:r>
      <w:r w:rsidRPr="0082687C">
        <w:rPr>
          <w:rFonts w:ascii="Arial" w:hAnsi="Arial" w:cs="Arial"/>
          <w:sz w:val="20"/>
          <w:szCs w:val="20"/>
        </w:rPr>
        <w:t xml:space="preserve"> Board</w:t>
      </w:r>
      <w:r w:rsidR="00310E82" w:rsidRPr="0082687C">
        <w:rPr>
          <w:rFonts w:ascii="Arial" w:hAnsi="Arial" w:cs="Arial"/>
          <w:sz w:val="20"/>
          <w:szCs w:val="20"/>
        </w:rPr>
        <w:t xml:space="preserve"> of Trustees</w:t>
      </w:r>
      <w:r w:rsidRPr="0082687C">
        <w:rPr>
          <w:rFonts w:ascii="Arial" w:hAnsi="Arial" w:cs="Arial"/>
          <w:sz w:val="20"/>
          <w:szCs w:val="20"/>
        </w:rPr>
        <w:t xml:space="preserve"> via ARC.</w:t>
      </w:r>
      <w:r w:rsidR="003327C7" w:rsidRPr="0082687C">
        <w:rPr>
          <w:rFonts w:ascii="Arial" w:hAnsi="Arial" w:cs="Arial"/>
          <w:sz w:val="20"/>
          <w:szCs w:val="20"/>
        </w:rPr>
        <w:br/>
      </w:r>
      <w:r w:rsidR="003327C7" w:rsidRPr="0082687C">
        <w:rPr>
          <w:rFonts w:ascii="Arial" w:hAnsi="Arial" w:cs="Arial"/>
          <w:sz w:val="20"/>
          <w:szCs w:val="20"/>
        </w:rPr>
        <w:br/>
        <w:t xml:space="preserve">TCV’s Safeguarding Champion is the </w:t>
      </w:r>
      <w:r w:rsidR="00DC622A" w:rsidRPr="0082687C">
        <w:rPr>
          <w:rFonts w:ascii="Arial" w:hAnsi="Arial" w:cs="Arial"/>
          <w:sz w:val="20"/>
          <w:szCs w:val="20"/>
        </w:rPr>
        <w:t xml:space="preserve">Director </w:t>
      </w:r>
      <w:r w:rsidR="003327C7" w:rsidRPr="0082687C">
        <w:rPr>
          <w:rFonts w:ascii="Arial" w:hAnsi="Arial" w:cs="Arial"/>
          <w:sz w:val="20"/>
          <w:szCs w:val="20"/>
        </w:rPr>
        <w:t>of People Services. The Champion will ensure that our central functions provide suitable and sufficient structures to support safeguarding, and champion a positive safeguarding culture. The Safety and Risk Manager will work with the Safeguarding Champion to support the quality assurance of all safeguarding activities at TCV.</w:t>
      </w:r>
    </w:p>
    <w:p w14:paraId="4D037744" w14:textId="77777777" w:rsidR="00EE7BAB" w:rsidRPr="0082687C" w:rsidRDefault="00EE7BAB" w:rsidP="0082687C">
      <w:pPr>
        <w:spacing w:after="0" w:line="240" w:lineRule="auto"/>
        <w:ind w:right="418"/>
        <w:rPr>
          <w:rFonts w:ascii="Arial" w:hAnsi="Arial" w:cs="Arial"/>
          <w:color w:val="FF0000"/>
          <w:sz w:val="20"/>
          <w:szCs w:val="20"/>
        </w:rPr>
      </w:pPr>
    </w:p>
    <w:p w14:paraId="78F73C82" w14:textId="799C7481"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The </w:t>
      </w:r>
      <w:r w:rsidR="003327C7" w:rsidRPr="0082687C">
        <w:rPr>
          <w:rFonts w:ascii="Arial" w:hAnsi="Arial" w:cs="Arial"/>
          <w:sz w:val="20"/>
          <w:szCs w:val="20"/>
        </w:rPr>
        <w:t xml:space="preserve">Designated Safeguarding Officer </w:t>
      </w:r>
      <w:r w:rsidRPr="0082687C">
        <w:rPr>
          <w:rFonts w:ascii="Arial" w:hAnsi="Arial" w:cs="Arial"/>
          <w:sz w:val="20"/>
          <w:szCs w:val="20"/>
        </w:rPr>
        <w:t xml:space="preserve">will hold operational responsibility for safeguarding procedures and the monitoring of safeguarding practice across TCV. </w:t>
      </w:r>
    </w:p>
    <w:p w14:paraId="2D2B1BB2" w14:textId="77777777" w:rsidR="00EE7BAB" w:rsidRPr="0082687C" w:rsidRDefault="00EE7BAB" w:rsidP="0082687C">
      <w:pPr>
        <w:spacing w:after="0" w:line="240" w:lineRule="auto"/>
        <w:rPr>
          <w:rFonts w:ascii="Arial" w:hAnsi="Arial" w:cs="Arial"/>
          <w:sz w:val="20"/>
          <w:szCs w:val="20"/>
        </w:rPr>
      </w:pPr>
    </w:p>
    <w:p w14:paraId="3FD9512B" w14:textId="6F062984"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Regional/</w:t>
      </w:r>
      <w:r w:rsidR="00BB134C" w:rsidRPr="0082687C">
        <w:rPr>
          <w:rFonts w:ascii="Arial" w:hAnsi="Arial" w:cs="Arial"/>
          <w:sz w:val="20"/>
          <w:szCs w:val="20"/>
        </w:rPr>
        <w:t>C</w:t>
      </w:r>
      <w:r w:rsidRPr="0082687C">
        <w:rPr>
          <w:rFonts w:ascii="Arial" w:hAnsi="Arial" w:cs="Arial"/>
          <w:sz w:val="20"/>
          <w:szCs w:val="20"/>
        </w:rPr>
        <w:t xml:space="preserve">ountry support for safeguarding will be provided by </w:t>
      </w:r>
      <w:r w:rsidR="003327C7" w:rsidRPr="0082687C">
        <w:rPr>
          <w:rFonts w:ascii="Arial" w:hAnsi="Arial" w:cs="Arial"/>
          <w:sz w:val="20"/>
          <w:szCs w:val="20"/>
        </w:rPr>
        <w:t>Designated Safeguarding Leads, and Deputy Designated Safeguarding Leads</w:t>
      </w:r>
      <w:r w:rsidRPr="0082687C">
        <w:rPr>
          <w:rFonts w:ascii="Arial" w:hAnsi="Arial" w:cs="Arial"/>
          <w:sz w:val="20"/>
          <w:szCs w:val="20"/>
        </w:rPr>
        <w:t xml:space="preserve">. </w:t>
      </w:r>
    </w:p>
    <w:p w14:paraId="0F0BC7E6" w14:textId="4214B708"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Directors, Head of Departments and Operations Leaders are responsible for ensuring safeguarding is managed effectively within their business area. </w:t>
      </w:r>
    </w:p>
    <w:p w14:paraId="43B43838" w14:textId="77777777" w:rsidR="00EE7BAB" w:rsidRPr="0082687C" w:rsidRDefault="00EE7BAB" w:rsidP="0082687C">
      <w:pPr>
        <w:spacing w:after="0" w:line="240" w:lineRule="auto"/>
        <w:rPr>
          <w:rFonts w:ascii="Arial" w:hAnsi="Arial" w:cs="Arial"/>
          <w:sz w:val="20"/>
          <w:szCs w:val="20"/>
        </w:rPr>
      </w:pPr>
    </w:p>
    <w:p w14:paraId="52007DE6" w14:textId="73DD9043"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Implementation of safeguarding policy and procedure is the responsibility of all staff.</w:t>
      </w:r>
    </w:p>
    <w:p w14:paraId="70F48A3B" w14:textId="77777777" w:rsidR="00EE7BAB" w:rsidRPr="0082687C" w:rsidRDefault="00EE7BAB" w:rsidP="0082687C">
      <w:pPr>
        <w:spacing w:after="0" w:line="240" w:lineRule="auto"/>
        <w:ind w:left="720"/>
        <w:contextualSpacing/>
        <w:rPr>
          <w:rFonts w:ascii="Arial" w:hAnsi="Arial" w:cs="Arial"/>
          <w:sz w:val="20"/>
          <w:szCs w:val="20"/>
        </w:rPr>
      </w:pPr>
    </w:p>
    <w:p w14:paraId="144F243F" w14:textId="560780D0" w:rsidR="00EE7BAB" w:rsidRPr="0082687C" w:rsidRDefault="00EE7BAB" w:rsidP="0082687C">
      <w:pPr>
        <w:pStyle w:val="ListParagraph"/>
        <w:numPr>
          <w:ilvl w:val="0"/>
          <w:numId w:val="10"/>
        </w:numPr>
        <w:autoSpaceDE w:val="0"/>
        <w:autoSpaceDN w:val="0"/>
        <w:adjustRightInd w:val="0"/>
        <w:spacing w:after="0" w:line="240" w:lineRule="auto"/>
        <w:rPr>
          <w:rFonts w:ascii="Arial" w:hAnsi="Arial" w:cs="Arial"/>
          <w:b/>
          <w:bCs/>
          <w:color w:val="000000"/>
          <w:sz w:val="20"/>
          <w:szCs w:val="20"/>
        </w:rPr>
      </w:pPr>
      <w:r w:rsidRPr="0082687C">
        <w:rPr>
          <w:rFonts w:ascii="Arial" w:hAnsi="Arial" w:cs="Arial"/>
          <w:b/>
          <w:bCs/>
          <w:color w:val="000000"/>
          <w:sz w:val="20"/>
          <w:szCs w:val="20"/>
        </w:rPr>
        <w:t xml:space="preserve">Policy Statement </w:t>
      </w:r>
    </w:p>
    <w:p w14:paraId="1604ED12" w14:textId="77777777" w:rsidR="00EE7BAB" w:rsidRPr="0082687C" w:rsidRDefault="00EE7BAB" w:rsidP="0082687C">
      <w:pPr>
        <w:pStyle w:val="ListParagraph"/>
        <w:autoSpaceDE w:val="0"/>
        <w:autoSpaceDN w:val="0"/>
        <w:adjustRightInd w:val="0"/>
        <w:spacing w:after="0" w:line="240" w:lineRule="auto"/>
        <w:ind w:left="360"/>
        <w:rPr>
          <w:rFonts w:ascii="Arial" w:hAnsi="Arial" w:cs="Arial"/>
          <w:b/>
          <w:bCs/>
          <w:color w:val="000000"/>
          <w:sz w:val="20"/>
          <w:szCs w:val="20"/>
        </w:rPr>
      </w:pPr>
    </w:p>
    <w:p w14:paraId="3B2E513D" w14:textId="413DFED1"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 xml:space="preserve">The </w:t>
      </w:r>
      <w:r w:rsidR="00424D7B" w:rsidRPr="0082687C">
        <w:rPr>
          <w:rFonts w:ascii="Arial" w:hAnsi="Arial" w:cs="Arial"/>
          <w:sz w:val="20"/>
          <w:szCs w:val="20"/>
        </w:rPr>
        <w:t>S</w:t>
      </w:r>
      <w:r w:rsidRPr="0082687C">
        <w:rPr>
          <w:rFonts w:ascii="Arial" w:hAnsi="Arial" w:cs="Arial"/>
          <w:sz w:val="20"/>
          <w:szCs w:val="20"/>
        </w:rPr>
        <w:t>afeguarding of ‘Adults at Risk’ is a priority for TCV.  A significant number of the volunteers, beneficiaries and visitors to TCV projects and services are ‘Adults at Risk’. This document sets out TCV policy with regards to safeguarding ‘Adults at Risk’ and its expectations of all staff and volunteers.</w:t>
      </w:r>
    </w:p>
    <w:p w14:paraId="67F9FBE1" w14:textId="02657A50" w:rsidR="00EE7BAB" w:rsidRPr="0082687C" w:rsidRDefault="00EE7BAB" w:rsidP="0082687C">
      <w:pPr>
        <w:spacing w:after="0" w:line="240" w:lineRule="auto"/>
        <w:rPr>
          <w:rFonts w:ascii="Arial" w:hAnsi="Arial" w:cs="Arial"/>
          <w:sz w:val="20"/>
          <w:szCs w:val="20"/>
        </w:rPr>
      </w:pPr>
    </w:p>
    <w:p w14:paraId="7AEF6E84" w14:textId="7C40CDD6" w:rsidR="00EE7BAB" w:rsidRPr="0082687C" w:rsidRDefault="00EE7BAB" w:rsidP="0082687C">
      <w:pPr>
        <w:autoSpaceDE w:val="0"/>
        <w:autoSpaceDN w:val="0"/>
        <w:adjustRightInd w:val="0"/>
        <w:spacing w:after="0" w:line="240" w:lineRule="auto"/>
        <w:rPr>
          <w:rFonts w:ascii="Arial" w:hAnsi="Arial" w:cs="Arial"/>
          <w:sz w:val="20"/>
          <w:szCs w:val="20"/>
        </w:rPr>
      </w:pPr>
      <w:r w:rsidRPr="0082687C">
        <w:rPr>
          <w:rFonts w:ascii="Arial" w:hAnsi="Arial" w:cs="Arial"/>
          <w:sz w:val="20"/>
          <w:szCs w:val="20"/>
        </w:rPr>
        <w:t xml:space="preserve">The abuse of ‘Adults at Risk’; physically, emotionally, financially and sexually is a sad fact of life. Adults may be abused regardless of their age, gender, religious belief, racial origin, culture or disability. They are often (but not always) abused by people they know and trust. TCV has a zero-tolerance of abuse wherever it occurs or whoever is responsible. </w:t>
      </w:r>
    </w:p>
    <w:p w14:paraId="5D25888C" w14:textId="77777777" w:rsidR="00EE7BAB" w:rsidRPr="0082687C" w:rsidRDefault="00EE7BAB" w:rsidP="0082687C">
      <w:pPr>
        <w:autoSpaceDE w:val="0"/>
        <w:autoSpaceDN w:val="0"/>
        <w:adjustRightInd w:val="0"/>
        <w:spacing w:after="0" w:line="240" w:lineRule="auto"/>
        <w:rPr>
          <w:rFonts w:ascii="Arial" w:hAnsi="Arial" w:cs="Arial"/>
          <w:sz w:val="20"/>
          <w:szCs w:val="20"/>
        </w:rPr>
      </w:pPr>
    </w:p>
    <w:p w14:paraId="4E6FCA98" w14:textId="30AEB8DD" w:rsidR="00EE7BAB" w:rsidRPr="0082687C" w:rsidRDefault="00EE7BAB" w:rsidP="0082687C">
      <w:pPr>
        <w:autoSpaceDE w:val="0"/>
        <w:autoSpaceDN w:val="0"/>
        <w:adjustRightInd w:val="0"/>
        <w:spacing w:after="0" w:line="240" w:lineRule="auto"/>
        <w:rPr>
          <w:rFonts w:ascii="Arial" w:hAnsi="Arial" w:cs="Arial"/>
          <w:sz w:val="20"/>
          <w:szCs w:val="20"/>
        </w:rPr>
      </w:pPr>
      <w:r w:rsidRPr="0082687C">
        <w:rPr>
          <w:rFonts w:ascii="Arial" w:hAnsi="Arial" w:cs="Arial"/>
          <w:sz w:val="20"/>
          <w:szCs w:val="20"/>
        </w:rPr>
        <w:t xml:space="preserve">TCV acknowledges the rights of ‘Adults at Risk’ to be safeguarded from abuse of all types and makes a clear commitment to upholding those rights by creating and maintaining an environment which aims to ensure, as far as possible, that those who access its services are kept </w:t>
      </w:r>
      <w:r w:rsidR="008E4ABB" w:rsidRPr="0082687C">
        <w:rPr>
          <w:rFonts w:ascii="Arial" w:hAnsi="Arial" w:cs="Arial"/>
          <w:sz w:val="20"/>
          <w:szCs w:val="20"/>
        </w:rPr>
        <w:t>safe</w:t>
      </w:r>
      <w:r w:rsidRPr="0082687C">
        <w:rPr>
          <w:rFonts w:ascii="Arial" w:hAnsi="Arial" w:cs="Arial"/>
          <w:sz w:val="20"/>
          <w:szCs w:val="20"/>
        </w:rPr>
        <w:t xml:space="preserve"> from abuse and neglect.</w:t>
      </w:r>
    </w:p>
    <w:p w14:paraId="4BA6F240" w14:textId="77777777" w:rsidR="00EE7BAB" w:rsidRPr="0082687C" w:rsidRDefault="00EE7BAB" w:rsidP="0082687C">
      <w:pPr>
        <w:autoSpaceDE w:val="0"/>
        <w:autoSpaceDN w:val="0"/>
        <w:adjustRightInd w:val="0"/>
        <w:spacing w:after="0" w:line="240" w:lineRule="auto"/>
        <w:rPr>
          <w:rFonts w:ascii="Arial" w:hAnsi="Arial" w:cs="Arial"/>
          <w:sz w:val="20"/>
          <w:szCs w:val="20"/>
        </w:rPr>
      </w:pPr>
    </w:p>
    <w:p w14:paraId="31BC00D0" w14:textId="64AC295A" w:rsidR="00EE7BAB" w:rsidRPr="0082687C" w:rsidRDefault="00EE7BAB" w:rsidP="0082687C">
      <w:pPr>
        <w:autoSpaceDE w:val="0"/>
        <w:autoSpaceDN w:val="0"/>
        <w:adjustRightInd w:val="0"/>
        <w:spacing w:after="0" w:line="240" w:lineRule="auto"/>
        <w:rPr>
          <w:rFonts w:ascii="Arial" w:hAnsi="Arial" w:cs="Arial"/>
          <w:sz w:val="20"/>
          <w:szCs w:val="20"/>
        </w:rPr>
      </w:pPr>
      <w:r w:rsidRPr="0082687C">
        <w:rPr>
          <w:rFonts w:ascii="Arial" w:hAnsi="Arial" w:cs="Arial"/>
          <w:sz w:val="20"/>
          <w:szCs w:val="20"/>
        </w:rPr>
        <w:t xml:space="preserve">TCV recognises its responsibilities under the terms of </w:t>
      </w:r>
      <w:r w:rsidR="008076B5" w:rsidRPr="0082687C">
        <w:rPr>
          <w:rFonts w:ascii="Arial" w:hAnsi="Arial" w:cs="Arial"/>
          <w:sz w:val="20"/>
          <w:szCs w:val="20"/>
        </w:rPr>
        <w:t xml:space="preserve">all </w:t>
      </w:r>
      <w:r w:rsidRPr="0082687C">
        <w:rPr>
          <w:rFonts w:ascii="Arial" w:hAnsi="Arial" w:cs="Arial"/>
          <w:sz w:val="20"/>
          <w:szCs w:val="20"/>
        </w:rPr>
        <w:t xml:space="preserve">relevant country specific legislation, with regards to the safeguarding of adults. </w:t>
      </w:r>
    </w:p>
    <w:p w14:paraId="7D5380A9" w14:textId="77777777" w:rsidR="00EE7BAB" w:rsidRPr="0082687C" w:rsidRDefault="00EE7BAB" w:rsidP="0082687C">
      <w:pPr>
        <w:autoSpaceDE w:val="0"/>
        <w:autoSpaceDN w:val="0"/>
        <w:adjustRightInd w:val="0"/>
        <w:spacing w:after="0" w:line="240" w:lineRule="auto"/>
        <w:rPr>
          <w:rFonts w:ascii="Arial" w:hAnsi="Arial" w:cs="Arial"/>
          <w:sz w:val="20"/>
          <w:szCs w:val="20"/>
        </w:rPr>
      </w:pPr>
    </w:p>
    <w:p w14:paraId="1477EC01" w14:textId="7F11A85A"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apply the UK Government Department of Health’s six key safeguarding principles when working with adults at risk of abuse: empowerment, protection, prevention, proportionality, partnership and accountability</w:t>
      </w:r>
      <w:r w:rsidR="00ED71C6" w:rsidRPr="0082687C">
        <w:rPr>
          <w:rFonts w:ascii="Arial" w:hAnsi="Arial" w:cs="Arial"/>
          <w:sz w:val="20"/>
          <w:szCs w:val="20"/>
        </w:rPr>
        <w:t>.</w:t>
      </w:r>
    </w:p>
    <w:p w14:paraId="57A59DEE" w14:textId="77777777" w:rsidR="00EE7BAB" w:rsidRPr="0082687C" w:rsidRDefault="00EE7BAB" w:rsidP="0082687C">
      <w:pPr>
        <w:spacing w:after="0" w:line="240" w:lineRule="auto"/>
        <w:ind w:left="720" w:hanging="436"/>
        <w:contextualSpacing/>
        <w:rPr>
          <w:rFonts w:ascii="Arial" w:hAnsi="Arial" w:cs="Arial"/>
          <w:sz w:val="20"/>
          <w:szCs w:val="20"/>
        </w:rPr>
      </w:pPr>
    </w:p>
    <w:p w14:paraId="07A89CD0" w14:textId="63747FF3"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record and refer all concerns, suspicions or allegations of abuse or neglect to the lead agencies responsible for carrying out safeguarding assessments and enquiries. It will do this only with consent from the ‘Adult at Risk’ unless there is a public interest consideration or a clear lack of capacity on the part of the adult concerned</w:t>
      </w:r>
      <w:r w:rsidR="00ED71C6" w:rsidRPr="0082687C">
        <w:rPr>
          <w:rFonts w:ascii="Arial" w:hAnsi="Arial" w:cs="Arial"/>
          <w:sz w:val="20"/>
          <w:szCs w:val="20"/>
        </w:rPr>
        <w:t>.</w:t>
      </w:r>
    </w:p>
    <w:p w14:paraId="6A9499DF" w14:textId="77777777" w:rsidR="00EE7BAB" w:rsidRPr="0082687C" w:rsidRDefault="00EE7BAB" w:rsidP="0082687C">
      <w:pPr>
        <w:spacing w:after="0" w:line="240" w:lineRule="auto"/>
        <w:ind w:hanging="436"/>
        <w:rPr>
          <w:rFonts w:ascii="Arial" w:hAnsi="Arial" w:cs="Arial"/>
          <w:sz w:val="20"/>
          <w:szCs w:val="20"/>
        </w:rPr>
      </w:pPr>
    </w:p>
    <w:p w14:paraId="7E21559C" w14:textId="30C05EF1" w:rsidR="001F1D65"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work in partnership with lead agencies and relevant partners, specifically the Local Authority and Police to respond to suspicions or incidents of abuse in accordance with statutory procedures</w:t>
      </w:r>
      <w:r w:rsidR="00ED71C6" w:rsidRPr="0082687C">
        <w:rPr>
          <w:rFonts w:ascii="Arial" w:hAnsi="Arial" w:cs="Arial"/>
          <w:sz w:val="20"/>
          <w:szCs w:val="20"/>
        </w:rPr>
        <w:t>.</w:t>
      </w:r>
    </w:p>
    <w:p w14:paraId="2B031443" w14:textId="77777777" w:rsidR="001F1D65" w:rsidRPr="0082687C" w:rsidRDefault="001F1D65" w:rsidP="0082687C">
      <w:pPr>
        <w:spacing w:after="0" w:line="240" w:lineRule="auto"/>
        <w:contextualSpacing/>
        <w:rPr>
          <w:rFonts w:ascii="Arial" w:hAnsi="Arial" w:cs="Arial"/>
          <w:sz w:val="20"/>
          <w:szCs w:val="20"/>
        </w:rPr>
      </w:pPr>
    </w:p>
    <w:p w14:paraId="1313EABF" w14:textId="31C3929C" w:rsidR="001F1D65" w:rsidRPr="0082687C" w:rsidRDefault="001F1D65"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provide staff with role appropriate training to enable them to understand their roles and responsibilities in relation to safeguarding and to be able to identify and report the signs of abuse.</w:t>
      </w:r>
    </w:p>
    <w:p w14:paraId="68080013" w14:textId="77777777" w:rsidR="00EE7BAB" w:rsidRPr="0082687C" w:rsidRDefault="00EE7BAB" w:rsidP="0082687C">
      <w:pPr>
        <w:spacing w:after="0" w:line="240" w:lineRule="auto"/>
        <w:ind w:hanging="436"/>
        <w:rPr>
          <w:rFonts w:ascii="Arial" w:hAnsi="Arial" w:cs="Arial"/>
          <w:sz w:val="20"/>
          <w:szCs w:val="20"/>
        </w:rPr>
      </w:pPr>
    </w:p>
    <w:p w14:paraId="15F7CAF2" w14:textId="29E4468C"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strive to raise awareness of safeguarding issues in the communities where it works through the provision of information and advice to its staff, volunteers and beneficiaries</w:t>
      </w:r>
      <w:r w:rsidR="00ED71C6" w:rsidRPr="0082687C">
        <w:rPr>
          <w:rFonts w:ascii="Arial" w:hAnsi="Arial" w:cs="Arial"/>
          <w:sz w:val="20"/>
          <w:szCs w:val="20"/>
        </w:rPr>
        <w:t>.</w:t>
      </w:r>
    </w:p>
    <w:p w14:paraId="5E316AEC" w14:textId="77777777" w:rsidR="00EE7BAB" w:rsidRPr="0082687C" w:rsidRDefault="00EE7BAB" w:rsidP="0082687C">
      <w:pPr>
        <w:spacing w:after="0" w:line="240" w:lineRule="auto"/>
        <w:ind w:hanging="436"/>
        <w:rPr>
          <w:rFonts w:ascii="Arial" w:hAnsi="Arial" w:cs="Arial"/>
          <w:sz w:val="20"/>
          <w:szCs w:val="20"/>
        </w:rPr>
      </w:pPr>
    </w:p>
    <w:p w14:paraId="28DFC4BD" w14:textId="3573409A"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share information for the purposes of safeguarding and will comply with its statutory duty to supply information where requested. TCV will ensure that this data is handled in accordance with the Data Protection Act 2018 and GDPR</w:t>
      </w:r>
      <w:r w:rsidR="00ED71C6" w:rsidRPr="0082687C">
        <w:rPr>
          <w:rFonts w:ascii="Arial" w:hAnsi="Arial" w:cs="Arial"/>
          <w:sz w:val="20"/>
          <w:szCs w:val="20"/>
        </w:rPr>
        <w:t>.</w:t>
      </w:r>
    </w:p>
    <w:p w14:paraId="2B8B5ACE" w14:textId="77777777" w:rsidR="00EE7BAB" w:rsidRPr="0082687C" w:rsidRDefault="00EE7BAB" w:rsidP="0082687C">
      <w:pPr>
        <w:spacing w:after="0" w:line="240" w:lineRule="auto"/>
        <w:ind w:hanging="436"/>
        <w:rPr>
          <w:rFonts w:ascii="Arial" w:hAnsi="Arial" w:cs="Arial"/>
          <w:sz w:val="20"/>
          <w:szCs w:val="20"/>
        </w:rPr>
      </w:pPr>
    </w:p>
    <w:p w14:paraId="1C276A01" w14:textId="21822253"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ensure that it has in place internal procedures for staff that establish clear lines of accountability, responsibility and processes for reporting safeguarding concerns</w:t>
      </w:r>
      <w:r w:rsidR="00ED71C6" w:rsidRPr="0082687C">
        <w:rPr>
          <w:rFonts w:ascii="Arial" w:hAnsi="Arial" w:cs="Arial"/>
          <w:sz w:val="20"/>
          <w:szCs w:val="20"/>
        </w:rPr>
        <w:t>.</w:t>
      </w:r>
    </w:p>
    <w:p w14:paraId="1931A728" w14:textId="77777777" w:rsidR="00EE7BAB" w:rsidRPr="0082687C" w:rsidRDefault="00EE7BAB" w:rsidP="0082687C">
      <w:pPr>
        <w:spacing w:after="0" w:line="240" w:lineRule="auto"/>
        <w:rPr>
          <w:rFonts w:ascii="Arial" w:hAnsi="Arial" w:cs="Arial"/>
          <w:sz w:val="20"/>
          <w:szCs w:val="20"/>
        </w:rPr>
      </w:pPr>
    </w:p>
    <w:p w14:paraId="20E66E9E" w14:textId="6EB99B6B"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 xml:space="preserve">TCV will </w:t>
      </w:r>
      <w:r w:rsidRPr="0082687C">
        <w:rPr>
          <w:rFonts w:ascii="Arial" w:hAnsi="Arial" w:cs="Arial"/>
          <w:color w:val="000000"/>
          <w:sz w:val="20"/>
          <w:szCs w:val="20"/>
        </w:rPr>
        <w:t>involve ‘Adults at Risk’ of abuse in any safeguarding considerations. However, where someone is</w:t>
      </w:r>
      <w:r w:rsidRPr="0082687C">
        <w:rPr>
          <w:rFonts w:ascii="Arial" w:hAnsi="Arial" w:cs="Arial"/>
          <w:sz w:val="20"/>
          <w:szCs w:val="20"/>
        </w:rPr>
        <w:t xml:space="preserve"> judged as not having capacity to make an informed decision about their own wellbeing, decisions will be made on their behalf in discussion with the necessary statutory services and agencies, involving carers and family members as appropriate</w:t>
      </w:r>
      <w:r w:rsidR="00ED71C6" w:rsidRPr="0082687C">
        <w:rPr>
          <w:rFonts w:ascii="Arial" w:hAnsi="Arial" w:cs="Arial"/>
          <w:sz w:val="20"/>
          <w:szCs w:val="20"/>
        </w:rPr>
        <w:t>.</w:t>
      </w:r>
    </w:p>
    <w:p w14:paraId="432E6902" w14:textId="77777777" w:rsidR="00EE7BAB" w:rsidRPr="0082687C" w:rsidRDefault="00EE7BAB" w:rsidP="0082687C">
      <w:pPr>
        <w:spacing w:after="0" w:line="240" w:lineRule="auto"/>
        <w:ind w:hanging="436"/>
        <w:rPr>
          <w:rFonts w:ascii="Arial" w:hAnsi="Arial" w:cs="Arial"/>
          <w:sz w:val="20"/>
          <w:szCs w:val="20"/>
        </w:rPr>
      </w:pPr>
    </w:p>
    <w:p w14:paraId="667F41BF" w14:textId="618C3980"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meet its responsibilities in relation to all disclosure and barring schemes in the recruitment and selection of staff. TCV will undertake checks through the Disclosure and Barring Service (DBS) and other country specific services, for all applicants to relevant posts</w:t>
      </w:r>
      <w:r w:rsidR="00ED71C6" w:rsidRPr="0082687C">
        <w:rPr>
          <w:rFonts w:ascii="Arial" w:hAnsi="Arial" w:cs="Arial"/>
          <w:sz w:val="20"/>
          <w:szCs w:val="20"/>
        </w:rPr>
        <w:t>.</w:t>
      </w:r>
    </w:p>
    <w:p w14:paraId="3B0A3C4A" w14:textId="77777777" w:rsidR="00EE7BAB" w:rsidRPr="0082687C" w:rsidRDefault="00EE7BAB" w:rsidP="0082687C">
      <w:pPr>
        <w:spacing w:after="0" w:line="240" w:lineRule="auto"/>
        <w:ind w:hanging="436"/>
        <w:rPr>
          <w:rFonts w:ascii="Arial" w:hAnsi="Arial" w:cs="Arial"/>
          <w:sz w:val="20"/>
          <w:szCs w:val="20"/>
        </w:rPr>
      </w:pPr>
    </w:p>
    <w:p w14:paraId="12B7BF0C" w14:textId="470BF308"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 xml:space="preserve">TCV will provide support and supervision for staff in order to create an environment in which they feel able to report safeguarding issues, including where they have concerns about the behaviour of other TCV </w:t>
      </w:r>
      <w:r w:rsidR="005C715C" w:rsidRPr="0082687C">
        <w:rPr>
          <w:rFonts w:ascii="Arial" w:hAnsi="Arial" w:cs="Arial"/>
          <w:sz w:val="20"/>
          <w:szCs w:val="20"/>
        </w:rPr>
        <w:t>staff</w:t>
      </w:r>
      <w:r w:rsidR="00ED71C6" w:rsidRPr="0082687C">
        <w:rPr>
          <w:rFonts w:ascii="Arial" w:hAnsi="Arial" w:cs="Arial"/>
          <w:sz w:val="20"/>
          <w:szCs w:val="20"/>
        </w:rPr>
        <w:t>.</w:t>
      </w:r>
    </w:p>
    <w:p w14:paraId="2E28F2DF" w14:textId="77777777" w:rsidR="00EE7BAB" w:rsidRPr="0082687C" w:rsidRDefault="00EE7BAB" w:rsidP="0082687C">
      <w:pPr>
        <w:spacing w:after="0" w:line="240" w:lineRule="auto"/>
        <w:ind w:left="720" w:hanging="436"/>
        <w:contextualSpacing/>
        <w:rPr>
          <w:rFonts w:ascii="Arial" w:hAnsi="Arial" w:cs="Arial"/>
          <w:sz w:val="20"/>
          <w:szCs w:val="20"/>
        </w:rPr>
      </w:pPr>
    </w:p>
    <w:p w14:paraId="73FA21BC" w14:textId="5F02D745"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TCV will address any suspected abuse by its staff through formal statutory investigative procedures and its own internal disciplinary procedures</w:t>
      </w:r>
      <w:r w:rsidR="00ED71C6" w:rsidRPr="0082687C">
        <w:rPr>
          <w:rFonts w:ascii="Arial" w:hAnsi="Arial" w:cs="Arial"/>
          <w:sz w:val="20"/>
          <w:szCs w:val="20"/>
        </w:rPr>
        <w:t>.</w:t>
      </w:r>
    </w:p>
    <w:p w14:paraId="269A6FE8" w14:textId="77777777" w:rsidR="001F1D65" w:rsidRPr="0082687C" w:rsidRDefault="001F1D65" w:rsidP="0082687C">
      <w:pPr>
        <w:spacing w:after="0" w:line="240" w:lineRule="auto"/>
        <w:contextualSpacing/>
        <w:rPr>
          <w:rFonts w:ascii="Arial" w:hAnsi="Arial" w:cs="Arial"/>
          <w:sz w:val="20"/>
          <w:szCs w:val="20"/>
        </w:rPr>
      </w:pPr>
    </w:p>
    <w:p w14:paraId="6E5DE53F" w14:textId="5A738D16" w:rsidR="00EE7BAB" w:rsidRPr="0082687C" w:rsidRDefault="00EE7BAB" w:rsidP="0082687C">
      <w:pPr>
        <w:numPr>
          <w:ilvl w:val="0"/>
          <w:numId w:val="4"/>
        </w:numPr>
        <w:spacing w:after="0" w:line="240" w:lineRule="auto"/>
        <w:ind w:hanging="436"/>
        <w:contextualSpacing/>
        <w:rPr>
          <w:rFonts w:ascii="Arial" w:hAnsi="Arial" w:cs="Arial"/>
          <w:sz w:val="20"/>
          <w:szCs w:val="20"/>
        </w:rPr>
      </w:pPr>
      <w:r w:rsidRPr="0082687C">
        <w:rPr>
          <w:rFonts w:ascii="Arial" w:hAnsi="Arial" w:cs="Arial"/>
          <w:sz w:val="20"/>
          <w:szCs w:val="20"/>
        </w:rPr>
        <w:t xml:space="preserve">TCV will establish, support and maintain leadership responsibility for the organisation’s safeguarding arrangements at both operational and strategic levels. </w:t>
      </w:r>
    </w:p>
    <w:p w14:paraId="5679FA76" w14:textId="77777777" w:rsidR="00EE7BAB" w:rsidRPr="0082687C" w:rsidRDefault="00EE7BAB" w:rsidP="0082687C">
      <w:pPr>
        <w:spacing w:after="0" w:line="240" w:lineRule="auto"/>
        <w:contextualSpacing/>
        <w:rPr>
          <w:rFonts w:ascii="Arial" w:hAnsi="Arial" w:cs="Arial"/>
          <w:sz w:val="20"/>
          <w:szCs w:val="20"/>
        </w:rPr>
      </w:pPr>
    </w:p>
    <w:p w14:paraId="2608FEFE" w14:textId="77777777" w:rsidR="001F1D65" w:rsidRPr="0082687C" w:rsidRDefault="001F1D65" w:rsidP="0082687C">
      <w:pPr>
        <w:spacing w:after="0" w:line="240" w:lineRule="auto"/>
        <w:contextualSpacing/>
        <w:rPr>
          <w:rFonts w:ascii="Arial" w:hAnsi="Arial" w:cs="Arial"/>
          <w:sz w:val="20"/>
          <w:szCs w:val="20"/>
        </w:rPr>
      </w:pPr>
    </w:p>
    <w:p w14:paraId="0916316F" w14:textId="77777777" w:rsidR="001F1D65" w:rsidRPr="0082687C" w:rsidRDefault="001F1D65" w:rsidP="0082687C">
      <w:pPr>
        <w:spacing w:after="0" w:line="240" w:lineRule="auto"/>
        <w:contextualSpacing/>
        <w:rPr>
          <w:rFonts w:ascii="Arial" w:hAnsi="Arial" w:cs="Arial"/>
          <w:sz w:val="20"/>
          <w:szCs w:val="20"/>
        </w:rPr>
      </w:pPr>
    </w:p>
    <w:p w14:paraId="1A9EE88F" w14:textId="56319502" w:rsidR="00EE7BAB" w:rsidRPr="0082687C" w:rsidRDefault="00EE7BAB" w:rsidP="0082687C">
      <w:pPr>
        <w:pStyle w:val="ListParagraph"/>
        <w:numPr>
          <w:ilvl w:val="0"/>
          <w:numId w:val="9"/>
        </w:numPr>
        <w:autoSpaceDE w:val="0"/>
        <w:autoSpaceDN w:val="0"/>
        <w:adjustRightInd w:val="0"/>
        <w:spacing w:after="0" w:line="240" w:lineRule="auto"/>
        <w:rPr>
          <w:rFonts w:ascii="Arial" w:hAnsi="Arial" w:cs="Arial"/>
          <w:b/>
          <w:bCs/>
          <w:color w:val="000000"/>
          <w:sz w:val="20"/>
          <w:szCs w:val="20"/>
        </w:rPr>
      </w:pPr>
      <w:r w:rsidRPr="0082687C">
        <w:rPr>
          <w:rFonts w:ascii="Arial" w:hAnsi="Arial" w:cs="Arial"/>
          <w:b/>
          <w:bCs/>
          <w:color w:val="000000"/>
          <w:sz w:val="20"/>
          <w:szCs w:val="20"/>
        </w:rPr>
        <w:t>Definitions</w:t>
      </w:r>
    </w:p>
    <w:p w14:paraId="5D4C647A" w14:textId="77777777" w:rsidR="00EE7BAB" w:rsidRPr="0082687C" w:rsidRDefault="00EE7BAB" w:rsidP="0082687C">
      <w:pPr>
        <w:pStyle w:val="ListParagraph"/>
        <w:autoSpaceDE w:val="0"/>
        <w:autoSpaceDN w:val="0"/>
        <w:adjustRightInd w:val="0"/>
        <w:spacing w:after="0" w:line="240" w:lineRule="auto"/>
        <w:ind w:left="360"/>
        <w:rPr>
          <w:rFonts w:ascii="Arial" w:hAnsi="Arial" w:cs="Arial"/>
          <w:b/>
          <w:bCs/>
          <w:color w:val="000000"/>
          <w:sz w:val="20"/>
          <w:szCs w:val="20"/>
        </w:rPr>
      </w:pPr>
    </w:p>
    <w:p w14:paraId="29924479" w14:textId="2A627772" w:rsidR="00EE7BAB" w:rsidRPr="0082687C" w:rsidRDefault="00EE7BAB" w:rsidP="0082687C">
      <w:pPr>
        <w:spacing w:after="0" w:line="240" w:lineRule="auto"/>
        <w:rPr>
          <w:rFonts w:ascii="Arial" w:hAnsi="Arial" w:cs="Arial"/>
          <w:sz w:val="20"/>
          <w:szCs w:val="20"/>
        </w:rPr>
      </w:pPr>
      <w:r w:rsidRPr="0082687C">
        <w:rPr>
          <w:rFonts w:ascii="Arial" w:hAnsi="Arial" w:cs="Arial"/>
          <w:sz w:val="20"/>
          <w:szCs w:val="20"/>
        </w:rPr>
        <w:t>An ‘Adult at Risk’ is someone who:</w:t>
      </w:r>
    </w:p>
    <w:p w14:paraId="67A93A16" w14:textId="484F4C9D" w:rsidR="00EE7BAB" w:rsidRPr="0082687C" w:rsidRDefault="00EE7BAB" w:rsidP="0082687C">
      <w:pPr>
        <w:numPr>
          <w:ilvl w:val="0"/>
          <w:numId w:val="5"/>
        </w:numPr>
        <w:spacing w:after="0" w:line="240" w:lineRule="auto"/>
        <w:ind w:hanging="436"/>
        <w:contextualSpacing/>
        <w:rPr>
          <w:rFonts w:ascii="Arial" w:hAnsi="Arial" w:cs="Arial"/>
          <w:sz w:val="20"/>
          <w:szCs w:val="20"/>
        </w:rPr>
      </w:pPr>
      <w:r w:rsidRPr="0082687C">
        <w:rPr>
          <w:rFonts w:ascii="Arial" w:hAnsi="Arial" w:cs="Arial"/>
          <w:sz w:val="20"/>
          <w:szCs w:val="20"/>
        </w:rPr>
        <w:t xml:space="preserve">is over the age of 18 </w:t>
      </w:r>
      <w:r w:rsidR="0067304A" w:rsidRPr="0082687C">
        <w:rPr>
          <w:rFonts w:ascii="Arial" w:hAnsi="Arial" w:cs="Arial"/>
          <w:sz w:val="20"/>
          <w:szCs w:val="20"/>
        </w:rPr>
        <w:t>years.</w:t>
      </w:r>
    </w:p>
    <w:p w14:paraId="710A6319" w14:textId="556386A7" w:rsidR="00EE7BAB" w:rsidRPr="0082687C" w:rsidRDefault="00EE7BAB" w:rsidP="0082687C">
      <w:pPr>
        <w:numPr>
          <w:ilvl w:val="0"/>
          <w:numId w:val="5"/>
        </w:numPr>
        <w:spacing w:after="0" w:line="240" w:lineRule="auto"/>
        <w:ind w:hanging="436"/>
        <w:contextualSpacing/>
        <w:rPr>
          <w:rFonts w:ascii="Arial" w:hAnsi="Arial" w:cs="Arial"/>
          <w:sz w:val="20"/>
          <w:szCs w:val="20"/>
        </w:rPr>
      </w:pPr>
      <w:r w:rsidRPr="0082687C">
        <w:rPr>
          <w:rFonts w:ascii="Arial" w:hAnsi="Arial" w:cs="Arial"/>
          <w:sz w:val="20"/>
          <w:szCs w:val="20"/>
        </w:rPr>
        <w:t>has care and support needs (whether or not the Local Authority is meeting any of those needs)</w:t>
      </w:r>
      <w:r w:rsidR="0067304A" w:rsidRPr="0082687C">
        <w:rPr>
          <w:rFonts w:ascii="Arial" w:hAnsi="Arial" w:cs="Arial"/>
          <w:sz w:val="20"/>
          <w:szCs w:val="20"/>
        </w:rPr>
        <w:t>.</w:t>
      </w:r>
    </w:p>
    <w:p w14:paraId="73027545" w14:textId="23A616D0" w:rsidR="00EE7BAB" w:rsidRPr="0082687C" w:rsidRDefault="00EE7BAB" w:rsidP="0082687C">
      <w:pPr>
        <w:numPr>
          <w:ilvl w:val="0"/>
          <w:numId w:val="5"/>
        </w:numPr>
        <w:spacing w:after="0" w:line="240" w:lineRule="auto"/>
        <w:ind w:hanging="436"/>
        <w:contextualSpacing/>
        <w:rPr>
          <w:rFonts w:ascii="Arial" w:hAnsi="Arial" w:cs="Arial"/>
          <w:sz w:val="20"/>
          <w:szCs w:val="20"/>
        </w:rPr>
      </w:pPr>
      <w:r w:rsidRPr="0082687C">
        <w:rPr>
          <w:rFonts w:ascii="Arial" w:hAnsi="Arial" w:cs="Arial"/>
          <w:sz w:val="20"/>
          <w:szCs w:val="20"/>
        </w:rPr>
        <w:t>is experiencing, or is at risk of, abuse or neglect; and</w:t>
      </w:r>
    </w:p>
    <w:p w14:paraId="053E5B19" w14:textId="77777777" w:rsidR="00EE7BAB" w:rsidRPr="0082687C" w:rsidRDefault="00EE7BAB" w:rsidP="0082687C">
      <w:pPr>
        <w:numPr>
          <w:ilvl w:val="0"/>
          <w:numId w:val="5"/>
        </w:numPr>
        <w:spacing w:after="0" w:line="240" w:lineRule="auto"/>
        <w:ind w:hanging="436"/>
        <w:contextualSpacing/>
        <w:rPr>
          <w:rFonts w:ascii="Arial" w:hAnsi="Arial" w:cs="Arial"/>
          <w:sz w:val="20"/>
          <w:szCs w:val="20"/>
        </w:rPr>
      </w:pPr>
      <w:r w:rsidRPr="0082687C">
        <w:rPr>
          <w:rFonts w:ascii="Arial" w:hAnsi="Arial" w:cs="Arial"/>
          <w:sz w:val="20"/>
          <w:szCs w:val="20"/>
        </w:rPr>
        <w:t>as a result of those care and support, needs are unable to protect themselves from either the risk, or experience, of abuse or neglect.</w:t>
      </w:r>
    </w:p>
    <w:p w14:paraId="332B4620" w14:textId="77777777" w:rsidR="00B86C30" w:rsidRPr="0082687C" w:rsidRDefault="00B86C30" w:rsidP="0082687C">
      <w:pPr>
        <w:spacing w:after="0" w:line="240" w:lineRule="auto"/>
        <w:contextualSpacing/>
        <w:rPr>
          <w:rFonts w:ascii="Arial" w:hAnsi="Arial" w:cs="Arial"/>
          <w:sz w:val="20"/>
          <w:szCs w:val="20"/>
        </w:rPr>
      </w:pPr>
    </w:p>
    <w:p w14:paraId="67B65906" w14:textId="77777777" w:rsidR="00B86C30" w:rsidRPr="0082687C" w:rsidRDefault="00B86C30" w:rsidP="0082687C">
      <w:pPr>
        <w:spacing w:after="0" w:line="240" w:lineRule="auto"/>
        <w:contextualSpacing/>
        <w:rPr>
          <w:rFonts w:ascii="Arial" w:hAnsi="Arial" w:cs="Arial"/>
          <w:sz w:val="20"/>
          <w:szCs w:val="20"/>
        </w:rPr>
      </w:pPr>
    </w:p>
    <w:p w14:paraId="226D7119" w14:textId="7E5759E5" w:rsidR="00230550" w:rsidRPr="0082687C" w:rsidRDefault="00B86C30" w:rsidP="0082687C">
      <w:pPr>
        <w:spacing w:after="0" w:line="240" w:lineRule="auto"/>
        <w:contextualSpacing/>
        <w:rPr>
          <w:rFonts w:ascii="Arial" w:hAnsi="Arial" w:cs="Arial"/>
          <w:sz w:val="20"/>
          <w:szCs w:val="20"/>
        </w:rPr>
      </w:pPr>
      <w:r w:rsidRPr="0082687C">
        <w:rPr>
          <w:rFonts w:ascii="Arial" w:hAnsi="Arial" w:cs="Arial"/>
          <w:sz w:val="20"/>
          <w:szCs w:val="20"/>
        </w:rPr>
        <w:t>Six Key Principles of Adult S</w:t>
      </w:r>
      <w:r w:rsidR="00230550" w:rsidRPr="0082687C">
        <w:rPr>
          <w:rFonts w:ascii="Arial" w:hAnsi="Arial" w:cs="Arial"/>
          <w:sz w:val="20"/>
          <w:szCs w:val="20"/>
        </w:rPr>
        <w:t>a</w:t>
      </w:r>
      <w:r w:rsidRPr="0082687C">
        <w:rPr>
          <w:rFonts w:ascii="Arial" w:hAnsi="Arial" w:cs="Arial"/>
          <w:sz w:val="20"/>
          <w:szCs w:val="20"/>
        </w:rPr>
        <w:t>feguarding</w:t>
      </w:r>
      <w:r w:rsidR="00230550" w:rsidRPr="0082687C">
        <w:rPr>
          <w:rFonts w:ascii="Arial" w:hAnsi="Arial" w:cs="Arial"/>
          <w:sz w:val="20"/>
          <w:szCs w:val="20"/>
        </w:rPr>
        <w:t>:</w:t>
      </w:r>
    </w:p>
    <w:p w14:paraId="06353D7A" w14:textId="6DD67719"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Empowerment </w:t>
      </w:r>
      <w:r w:rsidRPr="0082687C">
        <w:rPr>
          <w:rFonts w:ascii="Arial" w:hAnsi="Arial" w:cs="Arial"/>
          <w:sz w:val="20"/>
          <w:szCs w:val="20"/>
        </w:rPr>
        <w:t xml:space="preserve">– People being supported and encouraged to make their own decisions and </w:t>
      </w:r>
      <w:r w:rsidR="00230550" w:rsidRPr="0082687C">
        <w:rPr>
          <w:rFonts w:ascii="Arial" w:hAnsi="Arial" w:cs="Arial"/>
          <w:sz w:val="20"/>
          <w:szCs w:val="20"/>
        </w:rPr>
        <w:t xml:space="preserve">seeking </w:t>
      </w:r>
      <w:r w:rsidRPr="0082687C">
        <w:rPr>
          <w:rFonts w:ascii="Arial" w:hAnsi="Arial" w:cs="Arial"/>
          <w:sz w:val="20"/>
          <w:szCs w:val="20"/>
        </w:rPr>
        <w:t xml:space="preserve">informed </w:t>
      </w:r>
      <w:r w:rsidR="00230550" w:rsidRPr="0082687C">
        <w:rPr>
          <w:rFonts w:ascii="Arial" w:hAnsi="Arial" w:cs="Arial"/>
          <w:sz w:val="20"/>
          <w:szCs w:val="20"/>
        </w:rPr>
        <w:t>consent.</w:t>
      </w:r>
    </w:p>
    <w:p w14:paraId="43841F07" w14:textId="1EEA932A"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Prevention </w:t>
      </w:r>
      <w:r w:rsidRPr="0082687C">
        <w:rPr>
          <w:rFonts w:ascii="Arial" w:hAnsi="Arial" w:cs="Arial"/>
          <w:sz w:val="20"/>
          <w:szCs w:val="20"/>
        </w:rPr>
        <w:t xml:space="preserve">– It is better to take action before harm </w:t>
      </w:r>
      <w:r w:rsidR="00230550" w:rsidRPr="0082687C">
        <w:rPr>
          <w:rFonts w:ascii="Arial" w:hAnsi="Arial" w:cs="Arial"/>
          <w:sz w:val="20"/>
          <w:szCs w:val="20"/>
        </w:rPr>
        <w:t>occurs.</w:t>
      </w:r>
    </w:p>
    <w:p w14:paraId="3EA721BD" w14:textId="07464938"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Proportionality </w:t>
      </w:r>
      <w:r w:rsidRPr="0082687C">
        <w:rPr>
          <w:rFonts w:ascii="Arial" w:hAnsi="Arial" w:cs="Arial"/>
          <w:sz w:val="20"/>
          <w:szCs w:val="20"/>
        </w:rPr>
        <w:t xml:space="preserve">– The least intrusive response appropriate to the risk </w:t>
      </w:r>
      <w:r w:rsidR="009F34CB" w:rsidRPr="0082687C">
        <w:rPr>
          <w:rFonts w:ascii="Arial" w:hAnsi="Arial" w:cs="Arial"/>
          <w:sz w:val="20"/>
          <w:szCs w:val="20"/>
        </w:rPr>
        <w:t>presented.</w:t>
      </w:r>
    </w:p>
    <w:p w14:paraId="2CC63377" w14:textId="77777777"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Protection </w:t>
      </w:r>
      <w:r w:rsidRPr="0082687C">
        <w:rPr>
          <w:rFonts w:ascii="Arial" w:hAnsi="Arial" w:cs="Arial"/>
          <w:sz w:val="20"/>
          <w:szCs w:val="20"/>
        </w:rPr>
        <w:t>– Support and representation for those in greatest need</w:t>
      </w:r>
    </w:p>
    <w:p w14:paraId="4AB133F9" w14:textId="0AF61033"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Partnership </w:t>
      </w:r>
      <w:r w:rsidRPr="0082687C">
        <w:rPr>
          <w:rFonts w:ascii="Arial" w:hAnsi="Arial" w:cs="Arial"/>
          <w:sz w:val="20"/>
          <w:szCs w:val="20"/>
        </w:rPr>
        <w:t xml:space="preserve">– Local solutions through services working with their communities. Communities have a part to play in preventing, detecting and reporting neglect and </w:t>
      </w:r>
      <w:r w:rsidR="009F34CB" w:rsidRPr="0082687C">
        <w:rPr>
          <w:rFonts w:ascii="Arial" w:hAnsi="Arial" w:cs="Arial"/>
          <w:sz w:val="20"/>
          <w:szCs w:val="20"/>
        </w:rPr>
        <w:t>abuse.</w:t>
      </w:r>
    </w:p>
    <w:p w14:paraId="0B23A5D6" w14:textId="0CB14FCC" w:rsidR="003A74F1" w:rsidRPr="0082687C" w:rsidRDefault="003A74F1" w:rsidP="0082687C">
      <w:pPr>
        <w:numPr>
          <w:ilvl w:val="0"/>
          <w:numId w:val="15"/>
        </w:numPr>
        <w:spacing w:after="0" w:line="240" w:lineRule="auto"/>
        <w:ind w:left="709" w:hanging="425"/>
        <w:rPr>
          <w:rFonts w:ascii="Arial" w:hAnsi="Arial" w:cs="Arial"/>
          <w:sz w:val="20"/>
          <w:szCs w:val="20"/>
        </w:rPr>
      </w:pPr>
      <w:r w:rsidRPr="0082687C">
        <w:rPr>
          <w:rFonts w:ascii="Arial" w:hAnsi="Arial" w:cs="Arial"/>
          <w:b/>
          <w:sz w:val="20"/>
          <w:szCs w:val="20"/>
        </w:rPr>
        <w:t xml:space="preserve">Accountability </w:t>
      </w:r>
      <w:r w:rsidRPr="0082687C">
        <w:rPr>
          <w:rFonts w:ascii="Arial" w:hAnsi="Arial" w:cs="Arial"/>
          <w:sz w:val="20"/>
          <w:szCs w:val="20"/>
        </w:rPr>
        <w:t xml:space="preserve">– accountability and transparency in delivering </w:t>
      </w:r>
      <w:r w:rsidR="009F34CB" w:rsidRPr="0082687C">
        <w:rPr>
          <w:rFonts w:ascii="Arial" w:hAnsi="Arial" w:cs="Arial"/>
          <w:sz w:val="20"/>
          <w:szCs w:val="20"/>
        </w:rPr>
        <w:t>safeguarding.</w:t>
      </w:r>
    </w:p>
    <w:p w14:paraId="2EAA728A" w14:textId="4E4B4F7B" w:rsidR="00B63D62" w:rsidRPr="0082687C" w:rsidRDefault="00B63D62" w:rsidP="0082687C">
      <w:pPr>
        <w:spacing w:after="0" w:line="240" w:lineRule="auto"/>
        <w:rPr>
          <w:rFonts w:ascii="Arial" w:hAnsi="Arial" w:cs="Arial"/>
          <w:sz w:val="20"/>
          <w:szCs w:val="20"/>
        </w:rPr>
      </w:pPr>
    </w:p>
    <w:p w14:paraId="11E1F788" w14:textId="4B8C1C0E" w:rsidR="003B201E" w:rsidRPr="0082687C" w:rsidRDefault="001616BF" w:rsidP="0082687C">
      <w:pPr>
        <w:pStyle w:val="ListParagraph"/>
        <w:numPr>
          <w:ilvl w:val="0"/>
          <w:numId w:val="9"/>
        </w:numPr>
        <w:autoSpaceDE w:val="0"/>
        <w:autoSpaceDN w:val="0"/>
        <w:adjustRightInd w:val="0"/>
        <w:spacing w:after="0" w:line="240" w:lineRule="auto"/>
        <w:rPr>
          <w:rFonts w:ascii="Arial" w:hAnsi="Arial" w:cs="Arial"/>
          <w:b/>
          <w:bCs/>
          <w:color w:val="000000"/>
          <w:sz w:val="20"/>
          <w:szCs w:val="20"/>
        </w:rPr>
      </w:pPr>
      <w:r w:rsidRPr="0082687C">
        <w:rPr>
          <w:rFonts w:ascii="Arial" w:hAnsi="Arial" w:cs="Arial"/>
          <w:b/>
          <w:bCs/>
          <w:color w:val="000000"/>
          <w:sz w:val="20"/>
          <w:szCs w:val="20"/>
        </w:rPr>
        <w:t>Other Essential Information</w:t>
      </w:r>
    </w:p>
    <w:p w14:paraId="591D11D0" w14:textId="4B413267" w:rsidR="003B201E" w:rsidRPr="0082687C" w:rsidRDefault="003B201E" w:rsidP="0082687C">
      <w:pPr>
        <w:pStyle w:val="ListParagraph"/>
        <w:autoSpaceDE w:val="0"/>
        <w:autoSpaceDN w:val="0"/>
        <w:adjustRightInd w:val="0"/>
        <w:spacing w:after="0" w:line="240" w:lineRule="auto"/>
        <w:ind w:left="360"/>
        <w:rPr>
          <w:rFonts w:ascii="Arial" w:hAnsi="Arial" w:cs="Arial"/>
          <w:b/>
          <w:bCs/>
          <w:color w:val="000000"/>
          <w:sz w:val="20"/>
          <w:szCs w:val="20"/>
        </w:rPr>
      </w:pPr>
    </w:p>
    <w:p w14:paraId="1F376B18" w14:textId="575CD898" w:rsidR="003B201E" w:rsidRPr="0082687C" w:rsidRDefault="003B201E" w:rsidP="0082687C">
      <w:pPr>
        <w:autoSpaceDE w:val="0"/>
        <w:autoSpaceDN w:val="0"/>
        <w:adjustRightInd w:val="0"/>
        <w:spacing w:after="0" w:line="240" w:lineRule="auto"/>
        <w:rPr>
          <w:rFonts w:ascii="Arial" w:hAnsi="Arial" w:cs="Arial"/>
          <w:color w:val="000000"/>
          <w:sz w:val="20"/>
          <w:szCs w:val="20"/>
        </w:rPr>
      </w:pPr>
      <w:r w:rsidRPr="0082687C">
        <w:rPr>
          <w:rFonts w:ascii="Arial" w:hAnsi="Arial" w:cs="Arial"/>
          <w:color w:val="000000"/>
          <w:sz w:val="20"/>
          <w:szCs w:val="20"/>
        </w:rPr>
        <w:t>None</w:t>
      </w:r>
    </w:p>
    <w:p w14:paraId="1CB8AF9D" w14:textId="77777777" w:rsidR="003B201E" w:rsidRPr="0082687C" w:rsidRDefault="003B201E" w:rsidP="0082687C">
      <w:pPr>
        <w:pStyle w:val="ListParagraph"/>
        <w:autoSpaceDE w:val="0"/>
        <w:autoSpaceDN w:val="0"/>
        <w:adjustRightInd w:val="0"/>
        <w:spacing w:after="0" w:line="240" w:lineRule="auto"/>
        <w:ind w:left="360"/>
        <w:rPr>
          <w:rFonts w:ascii="Arial" w:hAnsi="Arial" w:cs="Arial"/>
          <w:b/>
          <w:bCs/>
          <w:color w:val="000000"/>
          <w:sz w:val="20"/>
          <w:szCs w:val="20"/>
        </w:rPr>
      </w:pPr>
    </w:p>
    <w:p w14:paraId="17017525" w14:textId="3C7ABC07" w:rsidR="00EE7BAB" w:rsidRPr="0082687C" w:rsidRDefault="003B201E" w:rsidP="0082687C">
      <w:pPr>
        <w:pStyle w:val="ListParagraph"/>
        <w:numPr>
          <w:ilvl w:val="0"/>
          <w:numId w:val="9"/>
        </w:numPr>
        <w:autoSpaceDE w:val="0"/>
        <w:autoSpaceDN w:val="0"/>
        <w:adjustRightInd w:val="0"/>
        <w:spacing w:after="0" w:line="240" w:lineRule="auto"/>
        <w:rPr>
          <w:rFonts w:ascii="Arial" w:hAnsi="Arial" w:cs="Arial"/>
          <w:b/>
          <w:bCs/>
          <w:color w:val="000000"/>
          <w:sz w:val="20"/>
          <w:szCs w:val="20"/>
        </w:rPr>
      </w:pPr>
      <w:r w:rsidRPr="0082687C">
        <w:rPr>
          <w:rFonts w:ascii="Arial" w:hAnsi="Arial" w:cs="Arial"/>
          <w:b/>
          <w:bCs/>
          <w:color w:val="000000"/>
          <w:sz w:val="20"/>
          <w:szCs w:val="20"/>
        </w:rPr>
        <w:t>Related Documents</w:t>
      </w:r>
      <w:r w:rsidR="00EE7BAB" w:rsidRPr="0082687C">
        <w:rPr>
          <w:rFonts w:ascii="Arial" w:hAnsi="Arial" w:cs="Arial"/>
          <w:b/>
          <w:bCs/>
          <w:color w:val="000000"/>
          <w:sz w:val="20"/>
          <w:szCs w:val="20"/>
        </w:rPr>
        <w:t xml:space="preserve"> </w:t>
      </w:r>
    </w:p>
    <w:p w14:paraId="2DF7C025" w14:textId="77777777" w:rsidR="00EE7BAB" w:rsidRPr="0082687C" w:rsidRDefault="00EE7BAB" w:rsidP="0082687C">
      <w:pPr>
        <w:autoSpaceDE w:val="0"/>
        <w:autoSpaceDN w:val="0"/>
        <w:adjustRightInd w:val="0"/>
        <w:spacing w:after="0" w:line="240" w:lineRule="auto"/>
        <w:rPr>
          <w:rFonts w:ascii="Arial" w:hAnsi="Arial" w:cs="Arial"/>
          <w:color w:val="000000"/>
          <w:sz w:val="20"/>
          <w:szCs w:val="20"/>
        </w:rPr>
      </w:pPr>
    </w:p>
    <w:p w14:paraId="7EF95145" w14:textId="22A7F9AC" w:rsidR="00552D8A" w:rsidRPr="0082687C" w:rsidRDefault="00EE7BAB" w:rsidP="0082687C">
      <w:pPr>
        <w:numPr>
          <w:ilvl w:val="0"/>
          <w:numId w:val="7"/>
        </w:numPr>
        <w:spacing w:after="0" w:line="240" w:lineRule="auto"/>
        <w:ind w:left="426" w:hanging="426"/>
        <w:contextualSpacing/>
        <w:rPr>
          <w:rFonts w:ascii="Arial" w:hAnsi="Arial" w:cs="Arial"/>
          <w:sz w:val="20"/>
          <w:szCs w:val="20"/>
        </w:rPr>
      </w:pPr>
      <w:r w:rsidRPr="0082687C">
        <w:rPr>
          <w:rFonts w:ascii="Arial" w:hAnsi="Arial" w:cs="Arial"/>
          <w:sz w:val="20"/>
          <w:szCs w:val="20"/>
        </w:rPr>
        <w:t>Prevent Policy</w:t>
      </w:r>
    </w:p>
    <w:p w14:paraId="0D6AD4BB" w14:textId="68B72DDE"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 xml:space="preserve">Safeguarding Children </w:t>
      </w:r>
      <w:r w:rsidR="00D94036" w:rsidRPr="0082687C">
        <w:rPr>
          <w:rFonts w:ascii="Arial" w:hAnsi="Arial" w:cs="Arial"/>
          <w:sz w:val="20"/>
          <w:szCs w:val="20"/>
        </w:rPr>
        <w:t>P</w:t>
      </w:r>
      <w:r w:rsidRPr="0082687C">
        <w:rPr>
          <w:rFonts w:ascii="Arial" w:hAnsi="Arial" w:cs="Arial"/>
          <w:sz w:val="20"/>
          <w:szCs w:val="20"/>
        </w:rPr>
        <w:t>olicy</w:t>
      </w:r>
    </w:p>
    <w:p w14:paraId="1AD2F383" w14:textId="14CF6465"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 xml:space="preserve">Whistleblowing </w:t>
      </w:r>
      <w:r w:rsidR="00D94036" w:rsidRPr="0082687C">
        <w:rPr>
          <w:rFonts w:ascii="Arial" w:hAnsi="Arial" w:cs="Arial"/>
          <w:sz w:val="20"/>
          <w:szCs w:val="20"/>
        </w:rPr>
        <w:t>P</w:t>
      </w:r>
      <w:r w:rsidRPr="0082687C">
        <w:rPr>
          <w:rFonts w:ascii="Arial" w:hAnsi="Arial" w:cs="Arial"/>
          <w:sz w:val="20"/>
          <w:szCs w:val="20"/>
        </w:rPr>
        <w:t>olicy</w:t>
      </w:r>
    </w:p>
    <w:p w14:paraId="734B2EF6" w14:textId="2174B2E9" w:rsidR="009F61AF" w:rsidRPr="0082687C" w:rsidRDefault="00603AF7"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Modern Slavery Policy</w:t>
      </w:r>
    </w:p>
    <w:p w14:paraId="60427E01" w14:textId="4691A9B0"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 xml:space="preserve">Data Protection </w:t>
      </w:r>
      <w:r w:rsidR="00D94036" w:rsidRPr="0082687C">
        <w:rPr>
          <w:rFonts w:ascii="Arial" w:hAnsi="Arial" w:cs="Arial"/>
          <w:sz w:val="20"/>
          <w:szCs w:val="20"/>
        </w:rPr>
        <w:t>P</w:t>
      </w:r>
      <w:r w:rsidRPr="0082687C">
        <w:rPr>
          <w:rFonts w:ascii="Arial" w:hAnsi="Arial" w:cs="Arial"/>
          <w:sz w:val="20"/>
          <w:szCs w:val="20"/>
        </w:rPr>
        <w:t>olicy</w:t>
      </w:r>
    </w:p>
    <w:p w14:paraId="0D52C4AC" w14:textId="77777777"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SG-P01 – Safeguarding Procedure</w:t>
      </w:r>
    </w:p>
    <w:p w14:paraId="7DC865E5" w14:textId="77777777"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 xml:space="preserve">HS-P15 – Risk Assessment Procedure </w:t>
      </w:r>
    </w:p>
    <w:p w14:paraId="0F188703" w14:textId="77777777" w:rsidR="00552D8A" w:rsidRPr="0082687C" w:rsidRDefault="00552D8A" w:rsidP="0082687C">
      <w:pPr>
        <w:numPr>
          <w:ilvl w:val="0"/>
          <w:numId w:val="11"/>
        </w:numPr>
        <w:spacing w:after="0" w:line="240" w:lineRule="auto"/>
        <w:ind w:left="426" w:hanging="426"/>
        <w:contextualSpacing/>
        <w:rPr>
          <w:rFonts w:ascii="Arial" w:hAnsi="Arial" w:cs="Arial"/>
          <w:sz w:val="20"/>
          <w:szCs w:val="20"/>
        </w:rPr>
      </w:pPr>
      <w:r w:rsidRPr="0082687C">
        <w:rPr>
          <w:rFonts w:ascii="Arial" w:hAnsi="Arial" w:cs="Arial"/>
          <w:sz w:val="20"/>
          <w:szCs w:val="20"/>
        </w:rPr>
        <w:t>HR-P01 – Recruitment &amp; Selection Procedure</w:t>
      </w:r>
    </w:p>
    <w:p w14:paraId="5295FE48" w14:textId="0E398770" w:rsidR="00E510E0" w:rsidRPr="0082687C" w:rsidRDefault="00E510E0" w:rsidP="0082687C">
      <w:pPr>
        <w:spacing w:after="0" w:line="240" w:lineRule="auto"/>
        <w:rPr>
          <w:rFonts w:ascii="Arial" w:hAnsi="Arial" w:cs="Arial"/>
          <w:sz w:val="20"/>
          <w:szCs w:val="20"/>
        </w:rPr>
      </w:pPr>
      <w:r w:rsidRPr="0082687C">
        <w:rPr>
          <w:rFonts w:ascii="Arial" w:hAnsi="Arial" w:cs="Arial"/>
          <w:sz w:val="20"/>
          <w:szCs w:val="20"/>
        </w:rPr>
        <w:br w:type="page"/>
      </w:r>
    </w:p>
    <w:p w14:paraId="500D90AE" w14:textId="77777777" w:rsidR="00EE7BAB" w:rsidRPr="0082687C" w:rsidRDefault="00EE7BAB" w:rsidP="0082687C">
      <w:pPr>
        <w:spacing w:after="0" w:line="240" w:lineRule="auto"/>
        <w:ind w:left="720"/>
        <w:contextualSpacing/>
        <w:rPr>
          <w:rFonts w:ascii="Arial" w:hAnsi="Arial" w:cs="Arial"/>
          <w:sz w:val="20"/>
          <w:szCs w:val="20"/>
        </w:rPr>
      </w:pPr>
    </w:p>
    <w:p w14:paraId="4DBDA1EA" w14:textId="5924D38C" w:rsidR="00B27DA1" w:rsidRPr="0082687C" w:rsidRDefault="00FC7E5F" w:rsidP="0082687C">
      <w:pPr>
        <w:pStyle w:val="ListParagraph"/>
        <w:numPr>
          <w:ilvl w:val="0"/>
          <w:numId w:val="9"/>
        </w:numPr>
        <w:spacing w:after="0" w:line="240" w:lineRule="auto"/>
        <w:rPr>
          <w:rFonts w:ascii="Arial" w:hAnsi="Arial" w:cs="Arial"/>
          <w:b/>
          <w:sz w:val="20"/>
          <w:szCs w:val="20"/>
        </w:rPr>
      </w:pPr>
      <w:r w:rsidRPr="0082687C">
        <w:rPr>
          <w:rFonts w:ascii="Arial" w:hAnsi="Arial" w:cs="Arial"/>
          <w:b/>
          <w:sz w:val="20"/>
          <w:szCs w:val="20"/>
        </w:rPr>
        <w:t>Relev</w:t>
      </w:r>
      <w:r w:rsidR="001D5A16" w:rsidRPr="0082687C">
        <w:rPr>
          <w:rFonts w:ascii="Arial" w:hAnsi="Arial" w:cs="Arial"/>
          <w:b/>
          <w:sz w:val="20"/>
          <w:szCs w:val="20"/>
        </w:rPr>
        <w:t>a</w:t>
      </w:r>
      <w:r w:rsidRPr="0082687C">
        <w:rPr>
          <w:rFonts w:ascii="Arial" w:hAnsi="Arial" w:cs="Arial"/>
          <w:b/>
          <w:sz w:val="20"/>
          <w:szCs w:val="20"/>
        </w:rPr>
        <w:t>nt Legislation</w:t>
      </w:r>
    </w:p>
    <w:p w14:paraId="486F55F2" w14:textId="77777777" w:rsidR="00610C66" w:rsidRPr="0082687C" w:rsidRDefault="00610C66" w:rsidP="0082687C">
      <w:pPr>
        <w:pStyle w:val="ListParagraph"/>
        <w:spacing w:after="0" w:line="240" w:lineRule="auto"/>
        <w:ind w:left="360"/>
        <w:rPr>
          <w:rFonts w:ascii="Arial" w:hAnsi="Arial" w:cs="Arial"/>
          <w:b/>
          <w:sz w:val="20"/>
          <w:szCs w:val="20"/>
        </w:rPr>
      </w:pPr>
    </w:p>
    <w:p w14:paraId="74C5A963" w14:textId="77777777" w:rsidR="00610C66" w:rsidRPr="0082687C" w:rsidRDefault="00610C66" w:rsidP="0082687C">
      <w:pPr>
        <w:pStyle w:val="ListParagraph"/>
        <w:numPr>
          <w:ilvl w:val="0"/>
          <w:numId w:val="12"/>
        </w:numPr>
        <w:spacing w:after="0" w:line="240" w:lineRule="auto"/>
        <w:ind w:left="426" w:hanging="357"/>
        <w:jc w:val="both"/>
        <w:rPr>
          <w:rFonts w:ascii="Arial" w:hAnsi="Arial" w:cs="Arial"/>
          <w:sz w:val="20"/>
          <w:szCs w:val="20"/>
        </w:rPr>
      </w:pPr>
      <w:r w:rsidRPr="0082687C">
        <w:rPr>
          <w:rFonts w:ascii="Arial" w:hAnsi="Arial" w:cs="Arial"/>
          <w:sz w:val="20"/>
          <w:szCs w:val="20"/>
        </w:rPr>
        <w:t>The Care Act 2014</w:t>
      </w:r>
    </w:p>
    <w:p w14:paraId="5E002476"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The Adult Support &amp; Protection (Scotland) Act 2007</w:t>
      </w:r>
    </w:p>
    <w:p w14:paraId="4683B97B"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The Safeguarding Vulnerable Groups (Northern Ireland) Order 2007</w:t>
      </w:r>
    </w:p>
    <w:p w14:paraId="466F6BC4"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Mental Capacity Act 2005</w:t>
      </w:r>
    </w:p>
    <w:p w14:paraId="3B860E01"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The Protection of Freedoms Act 2012</w:t>
      </w:r>
    </w:p>
    <w:p w14:paraId="20D40100"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The Safeguarding Vulnerable Groups Act 2006</w:t>
      </w:r>
    </w:p>
    <w:p w14:paraId="00371F2A" w14:textId="77777777" w:rsidR="00610C66" w:rsidRPr="0082687C" w:rsidRDefault="00610C66"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Protection of Vulnerable Groups (Scotland) Act 2007</w:t>
      </w:r>
    </w:p>
    <w:p w14:paraId="34F616EE" w14:textId="243DBB37" w:rsidR="008373B7" w:rsidRPr="0082687C" w:rsidRDefault="008373B7" w:rsidP="0082687C">
      <w:pPr>
        <w:pStyle w:val="ListParagraph"/>
        <w:numPr>
          <w:ilvl w:val="0"/>
          <w:numId w:val="12"/>
        </w:numPr>
        <w:spacing w:after="0" w:line="240" w:lineRule="auto"/>
        <w:ind w:left="426"/>
        <w:jc w:val="both"/>
        <w:rPr>
          <w:rFonts w:ascii="Arial" w:hAnsi="Arial" w:cs="Arial"/>
          <w:sz w:val="20"/>
          <w:szCs w:val="20"/>
        </w:rPr>
      </w:pPr>
      <w:r w:rsidRPr="0082687C">
        <w:rPr>
          <w:rFonts w:ascii="Arial" w:hAnsi="Arial" w:cs="Arial"/>
          <w:sz w:val="20"/>
          <w:szCs w:val="20"/>
        </w:rPr>
        <w:t>The Domestic Abuse Act 2021</w:t>
      </w:r>
    </w:p>
    <w:p w14:paraId="5F48F6A8" w14:textId="7EF9618D" w:rsidR="00EE7BAB" w:rsidRPr="0082687C" w:rsidRDefault="00EE7BAB" w:rsidP="0082687C">
      <w:pPr>
        <w:pStyle w:val="ListParagraph"/>
        <w:spacing w:after="0" w:line="240" w:lineRule="auto"/>
        <w:ind w:left="360"/>
        <w:rPr>
          <w:rFonts w:ascii="Arial" w:hAnsi="Arial" w:cs="Arial"/>
          <w:b/>
          <w:sz w:val="20"/>
          <w:szCs w:val="20"/>
        </w:rPr>
      </w:pPr>
      <w:r w:rsidRPr="0082687C">
        <w:rPr>
          <w:rFonts w:ascii="Arial" w:hAnsi="Arial" w:cs="Arial"/>
          <w:b/>
          <w:sz w:val="20"/>
          <w:szCs w:val="20"/>
        </w:rPr>
        <w:t xml:space="preserve"> </w:t>
      </w:r>
    </w:p>
    <w:p w14:paraId="688E2D09" w14:textId="10ECDB76" w:rsidR="00FC7E5F" w:rsidRPr="0082687C" w:rsidRDefault="005C0A28" w:rsidP="0082687C">
      <w:pPr>
        <w:pStyle w:val="ListParagraph"/>
        <w:numPr>
          <w:ilvl w:val="0"/>
          <w:numId w:val="9"/>
        </w:numPr>
        <w:spacing w:after="0" w:line="240" w:lineRule="auto"/>
        <w:rPr>
          <w:rFonts w:ascii="Arial" w:hAnsi="Arial" w:cs="Arial"/>
          <w:b/>
          <w:sz w:val="20"/>
          <w:szCs w:val="20"/>
        </w:rPr>
      </w:pPr>
      <w:r w:rsidRPr="0082687C">
        <w:rPr>
          <w:rFonts w:ascii="Arial" w:hAnsi="Arial" w:cs="Arial"/>
          <w:b/>
          <w:sz w:val="20"/>
          <w:szCs w:val="20"/>
        </w:rPr>
        <w:t>Approval</w:t>
      </w:r>
    </w:p>
    <w:p w14:paraId="3430139D" w14:textId="5AF581D8" w:rsidR="00424D7B" w:rsidRPr="0082687C" w:rsidRDefault="00424D7B" w:rsidP="0082687C">
      <w:pPr>
        <w:pStyle w:val="TxBrp11"/>
        <w:widowControl/>
        <w:tabs>
          <w:tab w:val="left" w:pos="204"/>
        </w:tabs>
        <w:autoSpaceDE/>
        <w:adjustRightInd/>
        <w:spacing w:line="240" w:lineRule="auto"/>
        <w:jc w:val="left"/>
        <w:rPr>
          <w:rFonts w:ascii="Arial" w:hAnsi="Arial" w:cs="Arial"/>
          <w:noProof/>
          <w:szCs w:val="20"/>
          <w:lang w:val="en-GB" w:eastAsia="en-GB"/>
        </w:rPr>
      </w:pPr>
      <w:r w:rsidRPr="0082687C">
        <w:rPr>
          <w:rFonts w:ascii="Arial" w:hAnsi="Arial" w:cs="Arial"/>
          <w:noProof/>
          <w:szCs w:val="20"/>
          <w:lang w:val="en-GB" w:eastAsia="en-GB"/>
        </w:rPr>
        <w:t>This Policy was approved by the Board of Trustees</w:t>
      </w:r>
      <w:r w:rsidR="003327C7" w:rsidRPr="0082687C">
        <w:rPr>
          <w:rFonts w:ascii="Arial" w:hAnsi="Arial" w:cs="Arial"/>
          <w:noProof/>
          <w:szCs w:val="20"/>
          <w:lang w:val="en-GB" w:eastAsia="en-GB"/>
        </w:rPr>
        <w:t>.</w:t>
      </w:r>
    </w:p>
    <w:p w14:paraId="5792709C" w14:textId="77777777" w:rsidR="00EE7BAB" w:rsidRPr="0082687C" w:rsidRDefault="00EE7BAB" w:rsidP="0082687C">
      <w:pPr>
        <w:tabs>
          <w:tab w:val="left" w:pos="204"/>
        </w:tabs>
        <w:autoSpaceDN w:val="0"/>
        <w:spacing w:after="0" w:line="240" w:lineRule="auto"/>
        <w:rPr>
          <w:rFonts w:ascii="Arial" w:eastAsia="Times New Roman" w:hAnsi="Arial" w:cs="Arial"/>
          <w:noProof/>
          <w:sz w:val="20"/>
          <w:szCs w:val="20"/>
          <w:lang w:eastAsia="en-GB"/>
        </w:rPr>
      </w:pPr>
    </w:p>
    <w:p w14:paraId="35880545" w14:textId="77777777" w:rsidR="00EE7BAB" w:rsidRPr="0082687C" w:rsidRDefault="00EE7BAB" w:rsidP="0082687C">
      <w:pPr>
        <w:tabs>
          <w:tab w:val="left" w:pos="204"/>
        </w:tabs>
        <w:autoSpaceDN w:val="0"/>
        <w:spacing w:after="0" w:line="240" w:lineRule="auto"/>
        <w:rPr>
          <w:rFonts w:ascii="Arial" w:eastAsia="Times New Roman" w:hAnsi="Arial" w:cs="Arial"/>
          <w:i/>
          <w:noProof/>
          <w:sz w:val="20"/>
          <w:szCs w:val="20"/>
          <w:lang w:eastAsia="en-GB"/>
        </w:rPr>
      </w:pPr>
    </w:p>
    <w:p w14:paraId="176F82E2" w14:textId="77777777" w:rsidR="00EE7BAB" w:rsidRPr="0082687C" w:rsidRDefault="00EE7BAB" w:rsidP="0082687C">
      <w:pPr>
        <w:pStyle w:val="Default"/>
        <w:rPr>
          <w:sz w:val="20"/>
          <w:szCs w:val="20"/>
        </w:rPr>
      </w:pPr>
    </w:p>
    <w:sectPr w:rsidR="00EE7BAB" w:rsidRPr="008268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D969" w14:textId="77777777" w:rsidR="005D7A82" w:rsidRDefault="005D7A82" w:rsidP="00CA6207">
      <w:pPr>
        <w:spacing w:after="0" w:line="240" w:lineRule="auto"/>
      </w:pPr>
      <w:r>
        <w:separator/>
      </w:r>
    </w:p>
  </w:endnote>
  <w:endnote w:type="continuationSeparator" w:id="0">
    <w:p w14:paraId="1BEA1A53" w14:textId="77777777" w:rsidR="005D7A82" w:rsidRDefault="005D7A82" w:rsidP="00CA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866" w14:textId="77777777" w:rsidR="00C516A8" w:rsidRDefault="00C516A8"/>
  <w:tbl>
    <w:tblPr>
      <w:tblW w:w="5000" w:type="pct"/>
      <w:tblCellMar>
        <w:left w:w="0" w:type="dxa"/>
        <w:right w:w="0" w:type="dxa"/>
      </w:tblCellMar>
      <w:tblLook w:val="04A0" w:firstRow="1" w:lastRow="0" w:firstColumn="1" w:lastColumn="0" w:noHBand="0" w:noVBand="1"/>
    </w:tblPr>
    <w:tblGrid>
      <w:gridCol w:w="4618"/>
      <w:gridCol w:w="4408"/>
    </w:tblGrid>
    <w:tr w:rsidR="00C516A8" w:rsidRPr="00E658BC" w14:paraId="14F9C0B1" w14:textId="77777777" w:rsidTr="00C516A8">
      <w:tc>
        <w:tcPr>
          <w:tcW w:w="2558" w:type="pct"/>
        </w:tcPr>
        <w:p w14:paraId="41D60FEB" w14:textId="5F938B35" w:rsidR="00C516A8" w:rsidRPr="008B0FB7" w:rsidRDefault="00C516A8" w:rsidP="008B0FB7">
          <w:pPr>
            <w:pStyle w:val="Footer"/>
            <w:rPr>
              <w:rFonts w:ascii="Arial" w:hAnsi="Arial" w:cs="Arial"/>
              <w:color w:val="000000" w:themeColor="text1"/>
              <w:sz w:val="16"/>
              <w:szCs w:val="16"/>
            </w:rPr>
          </w:pPr>
          <w:r>
            <w:rPr>
              <w:rFonts w:ascii="Arial" w:hAnsi="Arial" w:cs="Arial"/>
              <w:color w:val="000000" w:themeColor="text1"/>
              <w:sz w:val="16"/>
              <w:szCs w:val="16"/>
            </w:rPr>
            <w:t>Safeguarding Adults</w:t>
          </w:r>
          <w:r w:rsidRPr="008B0FB7">
            <w:rPr>
              <w:rFonts w:ascii="Arial" w:hAnsi="Arial" w:cs="Arial"/>
              <w:color w:val="000000" w:themeColor="text1"/>
              <w:sz w:val="16"/>
              <w:szCs w:val="16"/>
            </w:rPr>
            <w:t xml:space="preserve"> Policy  </w:t>
          </w:r>
          <w:r w:rsidRPr="008B0FB7">
            <w:rPr>
              <w:rFonts w:ascii="Arial" w:hAnsi="Arial" w:cs="Arial"/>
              <w:color w:val="000000" w:themeColor="text1"/>
              <w:sz w:val="16"/>
              <w:szCs w:val="16"/>
            </w:rPr>
            <w:tab/>
          </w:r>
        </w:p>
        <w:p w14:paraId="4C2D936C" w14:textId="17A8C489" w:rsidR="00C516A8" w:rsidRPr="008B0FB7" w:rsidRDefault="00C516A8" w:rsidP="008B0FB7">
          <w:pPr>
            <w:pStyle w:val="Footer"/>
            <w:rPr>
              <w:rFonts w:ascii="Arial" w:hAnsi="Arial" w:cs="Arial"/>
              <w:color w:val="000000" w:themeColor="text1"/>
              <w:sz w:val="16"/>
              <w:szCs w:val="16"/>
            </w:rPr>
          </w:pPr>
          <w:r w:rsidRPr="008B0FB7">
            <w:rPr>
              <w:rFonts w:ascii="Arial" w:hAnsi="Arial" w:cs="Arial"/>
              <w:color w:val="000000" w:themeColor="text1"/>
              <w:sz w:val="16"/>
              <w:szCs w:val="16"/>
            </w:rPr>
            <w:t xml:space="preserve">Version: </w:t>
          </w:r>
          <w:r w:rsidR="005C0A28">
            <w:rPr>
              <w:rFonts w:ascii="Arial" w:hAnsi="Arial" w:cs="Arial"/>
              <w:color w:val="000000" w:themeColor="text1"/>
              <w:sz w:val="16"/>
              <w:szCs w:val="16"/>
            </w:rPr>
            <w:t>1</w:t>
          </w:r>
          <w:r w:rsidR="004A60A4">
            <w:rPr>
              <w:rFonts w:ascii="Arial" w:hAnsi="Arial" w:cs="Arial"/>
              <w:color w:val="000000" w:themeColor="text1"/>
              <w:sz w:val="16"/>
              <w:szCs w:val="16"/>
            </w:rPr>
            <w:t>6</w:t>
          </w:r>
        </w:p>
        <w:p w14:paraId="0B7D630A" w14:textId="41DF01D8" w:rsidR="00C516A8" w:rsidRPr="008B0FB7" w:rsidRDefault="004A60A4" w:rsidP="008B0FB7">
          <w:pPr>
            <w:pStyle w:val="Footer"/>
            <w:rPr>
              <w:rFonts w:ascii="Arial" w:hAnsi="Arial" w:cs="Arial"/>
              <w:sz w:val="16"/>
              <w:szCs w:val="16"/>
            </w:rPr>
          </w:pPr>
          <w:r>
            <w:rPr>
              <w:rFonts w:ascii="Arial" w:hAnsi="Arial" w:cs="Arial"/>
              <w:sz w:val="16"/>
              <w:szCs w:val="16"/>
            </w:rPr>
            <w:t>December</w:t>
          </w:r>
          <w:r w:rsidR="0083125D">
            <w:rPr>
              <w:rFonts w:ascii="Arial" w:hAnsi="Arial" w:cs="Arial"/>
              <w:sz w:val="16"/>
              <w:szCs w:val="16"/>
            </w:rPr>
            <w:t xml:space="preserve"> 202</w:t>
          </w:r>
          <w:r>
            <w:rPr>
              <w:rFonts w:ascii="Arial" w:hAnsi="Arial" w:cs="Arial"/>
              <w:sz w:val="16"/>
              <w:szCs w:val="16"/>
            </w:rPr>
            <w:t>5</w:t>
          </w:r>
        </w:p>
        <w:p w14:paraId="644D3113" w14:textId="77777777" w:rsidR="00C516A8" w:rsidRPr="00E658BC" w:rsidRDefault="00DF72F2" w:rsidP="008B0FB7">
          <w:pPr>
            <w:pStyle w:val="Footer"/>
            <w:jc w:val="right"/>
          </w:pPr>
          <w:sdt>
            <w:sdtPr>
              <w:id w:val="582422358"/>
              <w:docPartObj>
                <w:docPartGallery w:val="Page Numbers (Top of Page)"/>
                <w:docPartUnique/>
              </w:docPartObj>
            </w:sdtPr>
            <w:sdtEndPr/>
            <w:sdtContent>
              <w:r w:rsidR="00C516A8" w:rsidRPr="008B0FB7">
                <w:rPr>
                  <w:rFonts w:ascii="Arial" w:hAnsi="Arial" w:cs="Arial"/>
                  <w:sz w:val="18"/>
                  <w:szCs w:val="18"/>
                </w:rPr>
                <w:t xml:space="preserve">Page </w:t>
              </w:r>
              <w:r w:rsidR="00C516A8" w:rsidRPr="008B0FB7">
                <w:rPr>
                  <w:rFonts w:ascii="Arial" w:hAnsi="Arial" w:cs="Arial"/>
                  <w:b/>
                  <w:bCs/>
                  <w:sz w:val="18"/>
                  <w:szCs w:val="18"/>
                </w:rPr>
                <w:fldChar w:fldCharType="begin"/>
              </w:r>
              <w:r w:rsidR="00C516A8" w:rsidRPr="008B0FB7">
                <w:rPr>
                  <w:rFonts w:ascii="Arial" w:hAnsi="Arial" w:cs="Arial"/>
                  <w:b/>
                  <w:bCs/>
                  <w:sz w:val="18"/>
                  <w:szCs w:val="18"/>
                </w:rPr>
                <w:instrText xml:space="preserve"> PAGE </w:instrText>
              </w:r>
              <w:r w:rsidR="00C516A8" w:rsidRPr="008B0FB7">
                <w:rPr>
                  <w:rFonts w:ascii="Arial" w:hAnsi="Arial" w:cs="Arial"/>
                  <w:b/>
                  <w:bCs/>
                  <w:sz w:val="18"/>
                  <w:szCs w:val="18"/>
                </w:rPr>
                <w:fldChar w:fldCharType="separate"/>
              </w:r>
              <w:r w:rsidR="00C516A8" w:rsidRPr="008B0FB7">
                <w:rPr>
                  <w:rFonts w:ascii="Arial" w:hAnsi="Arial" w:cs="Arial"/>
                  <w:b/>
                  <w:bCs/>
                  <w:noProof/>
                  <w:sz w:val="18"/>
                  <w:szCs w:val="18"/>
                </w:rPr>
                <w:t>5</w:t>
              </w:r>
              <w:r w:rsidR="00C516A8" w:rsidRPr="008B0FB7">
                <w:rPr>
                  <w:rFonts w:ascii="Arial" w:hAnsi="Arial" w:cs="Arial"/>
                  <w:b/>
                  <w:bCs/>
                  <w:sz w:val="18"/>
                  <w:szCs w:val="18"/>
                </w:rPr>
                <w:fldChar w:fldCharType="end"/>
              </w:r>
              <w:r w:rsidR="00C516A8" w:rsidRPr="008B0FB7">
                <w:rPr>
                  <w:rFonts w:ascii="Arial" w:hAnsi="Arial" w:cs="Arial"/>
                  <w:sz w:val="18"/>
                  <w:szCs w:val="18"/>
                </w:rPr>
                <w:t xml:space="preserve"> of </w:t>
              </w:r>
              <w:r w:rsidR="00C516A8" w:rsidRPr="008B0FB7">
                <w:rPr>
                  <w:rFonts w:ascii="Arial" w:hAnsi="Arial" w:cs="Arial"/>
                  <w:b/>
                  <w:bCs/>
                  <w:sz w:val="18"/>
                  <w:szCs w:val="18"/>
                </w:rPr>
                <w:fldChar w:fldCharType="begin"/>
              </w:r>
              <w:r w:rsidR="00C516A8" w:rsidRPr="008B0FB7">
                <w:rPr>
                  <w:rFonts w:ascii="Arial" w:hAnsi="Arial" w:cs="Arial"/>
                  <w:b/>
                  <w:bCs/>
                  <w:sz w:val="18"/>
                  <w:szCs w:val="18"/>
                </w:rPr>
                <w:instrText xml:space="preserve"> NUMPAGES  </w:instrText>
              </w:r>
              <w:r w:rsidR="00C516A8" w:rsidRPr="008B0FB7">
                <w:rPr>
                  <w:rFonts w:ascii="Arial" w:hAnsi="Arial" w:cs="Arial"/>
                  <w:b/>
                  <w:bCs/>
                  <w:sz w:val="18"/>
                  <w:szCs w:val="18"/>
                </w:rPr>
                <w:fldChar w:fldCharType="separate"/>
              </w:r>
              <w:r w:rsidR="00C516A8" w:rsidRPr="008B0FB7">
                <w:rPr>
                  <w:rFonts w:ascii="Arial" w:hAnsi="Arial" w:cs="Arial"/>
                  <w:b/>
                  <w:bCs/>
                  <w:noProof/>
                  <w:sz w:val="18"/>
                  <w:szCs w:val="18"/>
                </w:rPr>
                <w:t>6</w:t>
              </w:r>
              <w:r w:rsidR="00C516A8" w:rsidRPr="008B0FB7">
                <w:rPr>
                  <w:rFonts w:ascii="Arial" w:hAnsi="Arial" w:cs="Arial"/>
                  <w:b/>
                  <w:bCs/>
                  <w:sz w:val="18"/>
                  <w:szCs w:val="18"/>
                </w:rPr>
                <w:fldChar w:fldCharType="end"/>
              </w:r>
            </w:sdtContent>
          </w:sdt>
        </w:p>
      </w:tc>
      <w:tc>
        <w:tcPr>
          <w:tcW w:w="2442" w:type="pct"/>
        </w:tcPr>
        <w:p w14:paraId="006099D2" w14:textId="77777777" w:rsidR="00C516A8" w:rsidRPr="00E658BC" w:rsidRDefault="00C516A8" w:rsidP="008B0FB7">
          <w:pPr>
            <w:pStyle w:val="Footer"/>
            <w:jc w:val="right"/>
          </w:pPr>
        </w:p>
      </w:tc>
    </w:tr>
  </w:tbl>
  <w:p w14:paraId="4C621101" w14:textId="77777777" w:rsidR="00C516A8" w:rsidRPr="008B0FB7" w:rsidRDefault="00C516A8" w:rsidP="008B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AA8D" w14:textId="77777777" w:rsidR="005D7A82" w:rsidRDefault="005D7A82" w:rsidP="00CA6207">
      <w:pPr>
        <w:spacing w:after="0" w:line="240" w:lineRule="auto"/>
      </w:pPr>
      <w:r>
        <w:separator/>
      </w:r>
    </w:p>
  </w:footnote>
  <w:footnote w:type="continuationSeparator" w:id="0">
    <w:p w14:paraId="309FC156" w14:textId="77777777" w:rsidR="005D7A82" w:rsidRDefault="005D7A82" w:rsidP="00CA6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42A7" w14:textId="11F44A1D" w:rsidR="00C516A8" w:rsidRPr="007958FB" w:rsidRDefault="00C516A8" w:rsidP="00CE53C5">
    <w:pPr>
      <w:pStyle w:val="Header"/>
      <w:jc w:val="center"/>
      <w:rPr>
        <w:rFonts w:ascii="Arial" w:hAnsi="Arial" w:cs="Arial"/>
        <w:b/>
        <w:sz w:val="44"/>
        <w:szCs w:val="44"/>
      </w:rPr>
    </w:pPr>
    <w:r w:rsidRPr="007958FB">
      <w:rPr>
        <w:rFonts w:ascii="Arial" w:hAnsi="Arial" w:cs="Arial"/>
        <w:b/>
        <w:noProof/>
        <w:color w:val="000000" w:themeColor="text1"/>
        <w:sz w:val="44"/>
        <w:szCs w:val="44"/>
        <w:lang w:eastAsia="en-GB"/>
      </w:rPr>
      <w:drawing>
        <wp:anchor distT="0" distB="0" distL="114300" distR="114300" simplePos="0" relativeHeight="251658240" behindDoc="0" locked="0" layoutInCell="1" allowOverlap="1" wp14:anchorId="29E73BD9" wp14:editId="26EFC4FB">
          <wp:simplePos x="0" y="0"/>
          <wp:positionH relativeFrom="margin">
            <wp:posOffset>5657850</wp:posOffset>
          </wp:positionH>
          <wp:positionV relativeFrom="paragraph">
            <wp:posOffset>-353060</wp:posOffset>
          </wp:positionV>
          <wp:extent cx="462280" cy="751205"/>
          <wp:effectExtent l="0" t="0" r="0" b="0"/>
          <wp:wrapThrough wrapText="bothSides">
            <wp:wrapPolygon edited="0">
              <wp:start x="0" y="0"/>
              <wp:lineTo x="0" y="20815"/>
              <wp:lineTo x="20473" y="20815"/>
              <wp:lineTo x="20473" y="0"/>
              <wp:lineTo x="0" y="0"/>
            </wp:wrapPolygon>
          </wp:wrapThrough>
          <wp:docPr id="7" name="Picture 7" descr="C:\Users\m.slater\Downloads\The_Conservation_Volunteers_logo\The Conservation Volunteers\Jpegs_RGB\TCV_logo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later\Downloads\The_Conservation_Volunteers_logo\The Conservation Volunteers\Jpegs_RGB\TCV_logo_CO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8FB">
      <w:rPr>
        <w:rFonts w:ascii="Arial" w:hAnsi="Arial" w:cs="Arial"/>
        <w:b/>
        <w:sz w:val="44"/>
        <w:szCs w:val="44"/>
      </w:rPr>
      <w:t>Safeguarding Adults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B3"/>
    <w:multiLevelType w:val="hybridMultilevel"/>
    <w:tmpl w:val="0D26C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A0C21"/>
    <w:multiLevelType w:val="multilevel"/>
    <w:tmpl w:val="F30841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795453"/>
    <w:multiLevelType w:val="hybridMultilevel"/>
    <w:tmpl w:val="AC362488"/>
    <w:lvl w:ilvl="0" w:tplc="4A1468CA">
      <w:start w:val="1"/>
      <w:numFmt w:val="bullet"/>
      <w:lvlText w:val=""/>
      <w:lvlJc w:val="righ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37376E"/>
    <w:multiLevelType w:val="hybridMultilevel"/>
    <w:tmpl w:val="7D6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2769"/>
    <w:multiLevelType w:val="hybridMultilevel"/>
    <w:tmpl w:val="4C42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108B1"/>
    <w:multiLevelType w:val="hybridMultilevel"/>
    <w:tmpl w:val="4AE0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D55DD"/>
    <w:multiLevelType w:val="multilevel"/>
    <w:tmpl w:val="871235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77515B9"/>
    <w:multiLevelType w:val="singleLevel"/>
    <w:tmpl w:val="6CA67EB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385323"/>
    <w:multiLevelType w:val="hybridMultilevel"/>
    <w:tmpl w:val="708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351E"/>
    <w:multiLevelType w:val="hybridMultilevel"/>
    <w:tmpl w:val="ED4A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A187C"/>
    <w:multiLevelType w:val="hybridMultilevel"/>
    <w:tmpl w:val="270E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A3C8D"/>
    <w:multiLevelType w:val="hybridMultilevel"/>
    <w:tmpl w:val="7F8A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41912"/>
    <w:multiLevelType w:val="multilevel"/>
    <w:tmpl w:val="1E0284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F0504D"/>
    <w:multiLevelType w:val="hybridMultilevel"/>
    <w:tmpl w:val="2B24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37256427">
    <w:abstractNumId w:val="9"/>
  </w:num>
  <w:num w:numId="2" w16cid:durableId="986395305">
    <w:abstractNumId w:val="4"/>
  </w:num>
  <w:num w:numId="3" w16cid:durableId="1464035312">
    <w:abstractNumId w:val="0"/>
  </w:num>
  <w:num w:numId="4" w16cid:durableId="161817732">
    <w:abstractNumId w:val="13"/>
  </w:num>
  <w:num w:numId="5" w16cid:durableId="175004209">
    <w:abstractNumId w:val="10"/>
  </w:num>
  <w:num w:numId="6" w16cid:durableId="1684013214">
    <w:abstractNumId w:val="7"/>
  </w:num>
  <w:num w:numId="7" w16cid:durableId="2138798156">
    <w:abstractNumId w:val="11"/>
  </w:num>
  <w:num w:numId="8" w16cid:durableId="1881162145">
    <w:abstractNumId w:val="1"/>
  </w:num>
  <w:num w:numId="9" w16cid:durableId="800267118">
    <w:abstractNumId w:val="6"/>
  </w:num>
  <w:num w:numId="10" w16cid:durableId="1130124024">
    <w:abstractNumId w:val="12"/>
  </w:num>
  <w:num w:numId="11" w16cid:durableId="1464883399">
    <w:abstractNumId w:val="3"/>
  </w:num>
  <w:num w:numId="12" w16cid:durableId="1271086164">
    <w:abstractNumId w:val="2"/>
  </w:num>
  <w:num w:numId="13" w16cid:durableId="1764909303">
    <w:abstractNumId w:val="5"/>
  </w:num>
  <w:num w:numId="14" w16cid:durableId="938366379">
    <w:abstractNumId w:val="8"/>
  </w:num>
  <w:num w:numId="15" w16cid:durableId="510216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NDIwtzQ1MDIwtTBS0lEKTi0uzszPAymwrAUAQZ1CaywAAAA="/>
  </w:docVars>
  <w:rsids>
    <w:rsidRoot w:val="00CA6207"/>
    <w:rsid w:val="0001695C"/>
    <w:rsid w:val="0004306D"/>
    <w:rsid w:val="00045185"/>
    <w:rsid w:val="00047AFF"/>
    <w:rsid w:val="0008680A"/>
    <w:rsid w:val="000931E1"/>
    <w:rsid w:val="00096F52"/>
    <w:rsid w:val="000A2E98"/>
    <w:rsid w:val="000D6F18"/>
    <w:rsid w:val="000F3861"/>
    <w:rsid w:val="000F5F0B"/>
    <w:rsid w:val="001013AE"/>
    <w:rsid w:val="001135C1"/>
    <w:rsid w:val="001240BC"/>
    <w:rsid w:val="00124741"/>
    <w:rsid w:val="00160167"/>
    <w:rsid w:val="001616BF"/>
    <w:rsid w:val="00184B68"/>
    <w:rsid w:val="001A24EA"/>
    <w:rsid w:val="001C74EB"/>
    <w:rsid w:val="001D2364"/>
    <w:rsid w:val="001D4C46"/>
    <w:rsid w:val="001D5A16"/>
    <w:rsid w:val="001F1D65"/>
    <w:rsid w:val="002021BF"/>
    <w:rsid w:val="00203C3F"/>
    <w:rsid w:val="00205E82"/>
    <w:rsid w:val="0022388A"/>
    <w:rsid w:val="00230550"/>
    <w:rsid w:val="002630E3"/>
    <w:rsid w:val="00274474"/>
    <w:rsid w:val="00280BA3"/>
    <w:rsid w:val="002A3C6D"/>
    <w:rsid w:val="002A7F81"/>
    <w:rsid w:val="002B56E1"/>
    <w:rsid w:val="002B720A"/>
    <w:rsid w:val="002C1DDC"/>
    <w:rsid w:val="002C3E5B"/>
    <w:rsid w:val="00307E76"/>
    <w:rsid w:val="00310E82"/>
    <w:rsid w:val="003327C7"/>
    <w:rsid w:val="00334FDF"/>
    <w:rsid w:val="003454AB"/>
    <w:rsid w:val="00363A3C"/>
    <w:rsid w:val="003704E0"/>
    <w:rsid w:val="00381A28"/>
    <w:rsid w:val="00392D17"/>
    <w:rsid w:val="003A3815"/>
    <w:rsid w:val="003A65A4"/>
    <w:rsid w:val="003A74F1"/>
    <w:rsid w:val="003B201E"/>
    <w:rsid w:val="003D6027"/>
    <w:rsid w:val="003F5526"/>
    <w:rsid w:val="004069A8"/>
    <w:rsid w:val="0041102E"/>
    <w:rsid w:val="00424D7B"/>
    <w:rsid w:val="00431690"/>
    <w:rsid w:val="004332B0"/>
    <w:rsid w:val="004552C5"/>
    <w:rsid w:val="0047058B"/>
    <w:rsid w:val="00470C48"/>
    <w:rsid w:val="00477281"/>
    <w:rsid w:val="00484487"/>
    <w:rsid w:val="0048628B"/>
    <w:rsid w:val="004A60A4"/>
    <w:rsid w:val="004B0091"/>
    <w:rsid w:val="004B1A48"/>
    <w:rsid w:val="004E3F98"/>
    <w:rsid w:val="004E4AC3"/>
    <w:rsid w:val="005147E6"/>
    <w:rsid w:val="00532E24"/>
    <w:rsid w:val="005360F9"/>
    <w:rsid w:val="00552D8A"/>
    <w:rsid w:val="0056012C"/>
    <w:rsid w:val="005B1659"/>
    <w:rsid w:val="005C0A28"/>
    <w:rsid w:val="005C715C"/>
    <w:rsid w:val="005D7A82"/>
    <w:rsid w:val="005E65B5"/>
    <w:rsid w:val="005F21CA"/>
    <w:rsid w:val="00600F1E"/>
    <w:rsid w:val="00603AF7"/>
    <w:rsid w:val="00610C66"/>
    <w:rsid w:val="006204BC"/>
    <w:rsid w:val="00621F0F"/>
    <w:rsid w:val="0065312E"/>
    <w:rsid w:val="006708A0"/>
    <w:rsid w:val="0067304A"/>
    <w:rsid w:val="00695A1B"/>
    <w:rsid w:val="0069785B"/>
    <w:rsid w:val="006C00EC"/>
    <w:rsid w:val="006C220A"/>
    <w:rsid w:val="007055BA"/>
    <w:rsid w:val="0073645C"/>
    <w:rsid w:val="00736DE0"/>
    <w:rsid w:val="00745D1E"/>
    <w:rsid w:val="00775756"/>
    <w:rsid w:val="007958FB"/>
    <w:rsid w:val="007B56E7"/>
    <w:rsid w:val="007C388C"/>
    <w:rsid w:val="007E3554"/>
    <w:rsid w:val="007E50AC"/>
    <w:rsid w:val="007F0963"/>
    <w:rsid w:val="007F566B"/>
    <w:rsid w:val="008047BC"/>
    <w:rsid w:val="008076B5"/>
    <w:rsid w:val="00807BB0"/>
    <w:rsid w:val="00810E41"/>
    <w:rsid w:val="00815D57"/>
    <w:rsid w:val="00816FBC"/>
    <w:rsid w:val="0082687C"/>
    <w:rsid w:val="0083125D"/>
    <w:rsid w:val="008373B7"/>
    <w:rsid w:val="00841A78"/>
    <w:rsid w:val="00853A49"/>
    <w:rsid w:val="00855914"/>
    <w:rsid w:val="00867A4F"/>
    <w:rsid w:val="00877F2A"/>
    <w:rsid w:val="008B0FB7"/>
    <w:rsid w:val="008B42D5"/>
    <w:rsid w:val="008E4ABB"/>
    <w:rsid w:val="008E53DF"/>
    <w:rsid w:val="009124E5"/>
    <w:rsid w:val="00926B32"/>
    <w:rsid w:val="00935C42"/>
    <w:rsid w:val="009A3E03"/>
    <w:rsid w:val="009C0DD3"/>
    <w:rsid w:val="009E7816"/>
    <w:rsid w:val="009F34CB"/>
    <w:rsid w:val="009F61AF"/>
    <w:rsid w:val="00A05BFA"/>
    <w:rsid w:val="00A24A72"/>
    <w:rsid w:val="00A27794"/>
    <w:rsid w:val="00A306AF"/>
    <w:rsid w:val="00A45B98"/>
    <w:rsid w:val="00A50C82"/>
    <w:rsid w:val="00AA3921"/>
    <w:rsid w:val="00AB26C4"/>
    <w:rsid w:val="00AC65E1"/>
    <w:rsid w:val="00AE4098"/>
    <w:rsid w:val="00AE7D55"/>
    <w:rsid w:val="00B13897"/>
    <w:rsid w:val="00B13C2C"/>
    <w:rsid w:val="00B1586F"/>
    <w:rsid w:val="00B217E2"/>
    <w:rsid w:val="00B27DA1"/>
    <w:rsid w:val="00B60FC2"/>
    <w:rsid w:val="00B63D62"/>
    <w:rsid w:val="00B84A3A"/>
    <w:rsid w:val="00B86C30"/>
    <w:rsid w:val="00B945D7"/>
    <w:rsid w:val="00BB134C"/>
    <w:rsid w:val="00BE6E69"/>
    <w:rsid w:val="00C06863"/>
    <w:rsid w:val="00C215E9"/>
    <w:rsid w:val="00C25432"/>
    <w:rsid w:val="00C516A8"/>
    <w:rsid w:val="00CA6207"/>
    <w:rsid w:val="00CB7BB3"/>
    <w:rsid w:val="00CC5C6B"/>
    <w:rsid w:val="00CE0EF6"/>
    <w:rsid w:val="00CE53C5"/>
    <w:rsid w:val="00D103CE"/>
    <w:rsid w:val="00D37382"/>
    <w:rsid w:val="00D64660"/>
    <w:rsid w:val="00D703B9"/>
    <w:rsid w:val="00D729C7"/>
    <w:rsid w:val="00D92904"/>
    <w:rsid w:val="00D94036"/>
    <w:rsid w:val="00D94EA4"/>
    <w:rsid w:val="00DA0CFE"/>
    <w:rsid w:val="00DA692A"/>
    <w:rsid w:val="00DC622A"/>
    <w:rsid w:val="00DD0316"/>
    <w:rsid w:val="00DD7EC4"/>
    <w:rsid w:val="00DF052A"/>
    <w:rsid w:val="00DF72F2"/>
    <w:rsid w:val="00E07439"/>
    <w:rsid w:val="00E107FF"/>
    <w:rsid w:val="00E1148A"/>
    <w:rsid w:val="00E3369D"/>
    <w:rsid w:val="00E45C07"/>
    <w:rsid w:val="00E510E0"/>
    <w:rsid w:val="00EA4185"/>
    <w:rsid w:val="00EA4551"/>
    <w:rsid w:val="00EB233B"/>
    <w:rsid w:val="00ED71C6"/>
    <w:rsid w:val="00EE5625"/>
    <w:rsid w:val="00EE7BAB"/>
    <w:rsid w:val="00F10CBA"/>
    <w:rsid w:val="00F16B6C"/>
    <w:rsid w:val="00F3012F"/>
    <w:rsid w:val="00F45272"/>
    <w:rsid w:val="00F47039"/>
    <w:rsid w:val="00F72738"/>
    <w:rsid w:val="00F72CF6"/>
    <w:rsid w:val="00FA773D"/>
    <w:rsid w:val="00FB3951"/>
    <w:rsid w:val="00FB5783"/>
    <w:rsid w:val="00FC7E5F"/>
    <w:rsid w:val="00FD1B83"/>
    <w:rsid w:val="00FF2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099A"/>
  <w15:chartTrackingRefBased/>
  <w15:docId w15:val="{65159D9E-1B23-409E-B2BD-ED342EDC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207"/>
    <w:pPr>
      <w:spacing w:after="0" w:line="240" w:lineRule="auto"/>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07"/>
  </w:style>
  <w:style w:type="paragraph" w:styleId="Footer">
    <w:name w:val="footer"/>
    <w:basedOn w:val="Normal"/>
    <w:link w:val="FooterChar"/>
    <w:uiPriority w:val="99"/>
    <w:unhideWhenUsed/>
    <w:rsid w:val="00CA6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07"/>
  </w:style>
  <w:style w:type="paragraph" w:customStyle="1" w:styleId="Default">
    <w:name w:val="Default"/>
    <w:rsid w:val="00CE53C5"/>
    <w:pPr>
      <w:autoSpaceDE w:val="0"/>
      <w:autoSpaceDN w:val="0"/>
      <w:adjustRightInd w:val="0"/>
      <w:spacing w:after="0" w:line="240" w:lineRule="auto"/>
    </w:pPr>
    <w:rPr>
      <w:rFonts w:ascii="Arial" w:hAnsi="Arial" w:cs="Arial"/>
      <w:color w:val="000000"/>
      <w:sz w:val="24"/>
      <w:szCs w:val="24"/>
    </w:rPr>
  </w:style>
  <w:style w:type="paragraph" w:customStyle="1" w:styleId="TxBrp11">
    <w:name w:val="TxBr_p11"/>
    <w:basedOn w:val="Normal"/>
    <w:rsid w:val="000F3861"/>
    <w:pPr>
      <w:widowControl w:val="0"/>
      <w:autoSpaceDE w:val="0"/>
      <w:autoSpaceDN w:val="0"/>
      <w:adjustRightInd w:val="0"/>
      <w:spacing w:after="0" w:line="240" w:lineRule="atLeast"/>
      <w:jc w:val="both"/>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unhideWhenUsed/>
    <w:rsid w:val="00096F52"/>
    <w:rPr>
      <w:sz w:val="16"/>
      <w:szCs w:val="16"/>
    </w:rPr>
  </w:style>
  <w:style w:type="paragraph" w:styleId="CommentText">
    <w:name w:val="annotation text"/>
    <w:basedOn w:val="Normal"/>
    <w:link w:val="CommentTextChar"/>
    <w:uiPriority w:val="99"/>
    <w:unhideWhenUsed/>
    <w:rsid w:val="00096F52"/>
    <w:pPr>
      <w:spacing w:line="240" w:lineRule="auto"/>
    </w:pPr>
    <w:rPr>
      <w:sz w:val="20"/>
      <w:szCs w:val="20"/>
    </w:rPr>
  </w:style>
  <w:style w:type="character" w:customStyle="1" w:styleId="CommentTextChar">
    <w:name w:val="Comment Text Char"/>
    <w:basedOn w:val="DefaultParagraphFont"/>
    <w:link w:val="CommentText"/>
    <w:uiPriority w:val="99"/>
    <w:rsid w:val="00096F52"/>
    <w:rPr>
      <w:sz w:val="20"/>
      <w:szCs w:val="20"/>
    </w:rPr>
  </w:style>
  <w:style w:type="paragraph" w:styleId="CommentSubject">
    <w:name w:val="annotation subject"/>
    <w:basedOn w:val="CommentText"/>
    <w:next w:val="CommentText"/>
    <w:link w:val="CommentSubjectChar"/>
    <w:uiPriority w:val="99"/>
    <w:semiHidden/>
    <w:unhideWhenUsed/>
    <w:rsid w:val="00096F52"/>
    <w:rPr>
      <w:b/>
      <w:bCs/>
    </w:rPr>
  </w:style>
  <w:style w:type="character" w:customStyle="1" w:styleId="CommentSubjectChar">
    <w:name w:val="Comment Subject Char"/>
    <w:basedOn w:val="CommentTextChar"/>
    <w:link w:val="CommentSubject"/>
    <w:uiPriority w:val="99"/>
    <w:semiHidden/>
    <w:rsid w:val="00096F52"/>
    <w:rPr>
      <w:b/>
      <w:bCs/>
      <w:sz w:val="20"/>
      <w:szCs w:val="20"/>
    </w:rPr>
  </w:style>
  <w:style w:type="paragraph" w:styleId="BalloonText">
    <w:name w:val="Balloon Text"/>
    <w:basedOn w:val="Normal"/>
    <w:link w:val="BalloonTextChar"/>
    <w:uiPriority w:val="99"/>
    <w:semiHidden/>
    <w:unhideWhenUsed/>
    <w:rsid w:val="00096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52"/>
    <w:rPr>
      <w:rFonts w:ascii="Segoe UI" w:hAnsi="Segoe UI" w:cs="Segoe UI"/>
      <w:sz w:val="18"/>
      <w:szCs w:val="18"/>
    </w:rPr>
  </w:style>
  <w:style w:type="paragraph" w:styleId="ListParagraph">
    <w:name w:val="List Paragraph"/>
    <w:basedOn w:val="Normal"/>
    <w:uiPriority w:val="34"/>
    <w:qFormat/>
    <w:rsid w:val="00F10CBA"/>
    <w:pPr>
      <w:spacing w:after="200" w:line="276" w:lineRule="auto"/>
      <w:ind w:left="720"/>
      <w:contextualSpacing/>
    </w:pPr>
  </w:style>
  <w:style w:type="paragraph" w:styleId="Revision">
    <w:name w:val="Revision"/>
    <w:hidden/>
    <w:uiPriority w:val="99"/>
    <w:semiHidden/>
    <w:rsid w:val="00AE4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770">
      <w:bodyDiv w:val="1"/>
      <w:marLeft w:val="0"/>
      <w:marRight w:val="0"/>
      <w:marTop w:val="0"/>
      <w:marBottom w:val="0"/>
      <w:divBdr>
        <w:top w:val="none" w:sz="0" w:space="0" w:color="auto"/>
        <w:left w:val="none" w:sz="0" w:space="0" w:color="auto"/>
        <w:bottom w:val="none" w:sz="0" w:space="0" w:color="auto"/>
        <w:right w:val="none" w:sz="0" w:space="0" w:color="auto"/>
      </w:divBdr>
    </w:div>
    <w:div w:id="17494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430D3AFD1E140B8ED1094560E9417" ma:contentTypeVersion="25" ma:contentTypeDescription="Create a new document." ma:contentTypeScope="" ma:versionID="4fa34a477d4b7a464c5ca7464bf22ccb">
  <xsd:schema xmlns:xsd="http://www.w3.org/2001/XMLSchema" xmlns:xs="http://www.w3.org/2001/XMLSchema" xmlns:p="http://schemas.microsoft.com/office/2006/metadata/properties" xmlns:ns2="2060a57d-c0bd-4907-b628-1d31ec095e42" xmlns:ns3="25c4599d-6880-4d1c-843f-56a6dbab4e3b" targetNamespace="http://schemas.microsoft.com/office/2006/metadata/properties" ma:root="true" ma:fieldsID="f3648c4bcd51f58c70e92b824abf22b6" ns2:_="" ns3:_="">
    <xsd:import namespace="2060a57d-c0bd-4907-b628-1d31ec095e42"/>
    <xsd:import namespace="25c4599d-6880-4d1c-843f-56a6dbab4e3b"/>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0a57d-c0bd-4907-b628-1d31ec095e42"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ae06a-c573-424d-bfea-be64bf968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4599d-6880-4d1c-843f-56a6dbab4e3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72caa87-d5dc-4365-8015-6e5427761def}" ma:internalName="TaxCatchAll" ma:readOnly="false" ma:showField="CatchAllData" ma:web="25c4599d-6880-4d1c-843f-56a6dbab4e3b">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7a7ae06a-c573-424d-bfea-be64bf96831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c4599d-6880-4d1c-843f-56a6dbab4e3b" xsi:nil="true"/>
    <lcf76f155ced4ddcb4097134ff3c332f xmlns="2060a57d-c0bd-4907-b628-1d31ec095e42">
      <Terms xmlns="http://schemas.microsoft.com/office/infopath/2007/PartnerControls"/>
    </lcf76f155ced4ddcb4097134ff3c332f>
    <_Flow_SignoffStatus xmlns="2060a57d-c0bd-4907-b628-1d31ec095e42" xsi:nil="true"/>
    <TaxKeywordTaxHTField xmlns="25c4599d-6880-4d1c-843f-56a6dbab4e3b">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3849F-2867-4E3B-90B8-B0998DD4E90A}"/>
</file>

<file path=customXml/itemProps2.xml><?xml version="1.0" encoding="utf-8"?>
<ds:datastoreItem xmlns:ds="http://schemas.openxmlformats.org/officeDocument/2006/customXml" ds:itemID="{42942B59-8520-4833-852D-B8490A678DBE}">
  <ds:schemaRefs>
    <ds:schemaRef ds:uri="http://schemas.microsoft.com/office/2006/metadata/properties"/>
    <ds:schemaRef ds:uri="http://schemas.microsoft.com/office/infopath/2007/PartnerControls"/>
    <ds:schemaRef ds:uri="25c4599d-6880-4d1c-843f-56a6dbab4e3b"/>
    <ds:schemaRef ds:uri="2060a57d-c0bd-4907-b628-1d31ec095e42"/>
  </ds:schemaRefs>
</ds:datastoreItem>
</file>

<file path=customXml/itemProps3.xml><?xml version="1.0" encoding="utf-8"?>
<ds:datastoreItem xmlns:ds="http://schemas.openxmlformats.org/officeDocument/2006/customXml" ds:itemID="{CB7A8156-9343-4DF8-8E35-7BDFC48B3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1200</Words>
  <Characters>6841</Characters>
  <Application>Microsoft Office Word</Application>
  <DocSecurity>0</DocSecurity>
  <Lines>170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Mafala</dc:creator>
  <cp:keywords/>
  <dc:description/>
  <cp:lastModifiedBy>Wheisha Bakali</cp:lastModifiedBy>
  <cp:revision>5</cp:revision>
  <cp:lastPrinted>2025-11-03T16:27:00Z</cp:lastPrinted>
  <dcterms:created xsi:type="dcterms:W3CDTF">2025-10-16T17:55:00Z</dcterms:created>
  <dcterms:modified xsi:type="dcterms:W3CDTF">2025-11-03T16:27:00Z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0x010100871430D3AFD1E140B8ED1094560E9417</vt:lpwstr>
  </property>
  <property fmtid="{D5CDD505-2E9C-101B-9397-08002B2CF9AE}" pid="3" name="MediaServiceImageTags">
    <vt:lpwstr/>
  </property>
  <property fmtid="{D5CDD505-2E9C-101B-9397-08002B2CF9AE}" pid="4" name="TaxKeyword">
    <vt:lpwstr/>
  </property>
</Properties>
</file>